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7DFE0" w14:textId="17A244C1" w:rsidR="0003424A" w:rsidRDefault="0003424A" w:rsidP="0003424A">
      <w:pPr>
        <w:spacing w:after="0" w:line="240" w:lineRule="auto"/>
        <w:jc w:val="both"/>
      </w:pPr>
    </w:p>
    <w:p w14:paraId="51FE3859" w14:textId="47345DAB" w:rsidR="0003424A" w:rsidRDefault="0003424A" w:rsidP="0003424A">
      <w:pPr>
        <w:spacing w:after="0" w:line="240" w:lineRule="auto"/>
        <w:jc w:val="both"/>
      </w:pPr>
      <w:r>
        <w:rPr>
          <w:noProof/>
          <w:lang w:eastAsia="ru-RU"/>
        </w:rPr>
        <w:drawing>
          <wp:anchor distT="0" distB="0" distL="114300" distR="114300" simplePos="0" relativeHeight="251658240" behindDoc="1" locked="0" layoutInCell="1" allowOverlap="1" wp14:anchorId="5B68F38A" wp14:editId="5E05DB3E">
            <wp:simplePos x="0" y="0"/>
            <wp:positionH relativeFrom="column">
              <wp:posOffset>99060</wp:posOffset>
            </wp:positionH>
            <wp:positionV relativeFrom="page">
              <wp:posOffset>1270801</wp:posOffset>
            </wp:positionV>
            <wp:extent cx="4499610" cy="15443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_logo1.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499610" cy="1544320"/>
                    </a:xfrm>
                    <a:prstGeom prst="rect">
                      <a:avLst/>
                    </a:prstGeom>
                  </pic:spPr>
                </pic:pic>
              </a:graphicData>
            </a:graphic>
          </wp:anchor>
        </w:drawing>
      </w:r>
    </w:p>
    <w:p w14:paraId="2F3896A8" w14:textId="11B13BE3" w:rsidR="0003424A" w:rsidRDefault="0003424A" w:rsidP="0003424A">
      <w:pPr>
        <w:spacing w:after="0" w:line="240" w:lineRule="auto"/>
        <w:jc w:val="both"/>
      </w:pPr>
    </w:p>
    <w:p w14:paraId="5DA737DE" w14:textId="67F67E14" w:rsidR="0003424A" w:rsidRDefault="0003424A" w:rsidP="0003424A">
      <w:pPr>
        <w:spacing w:after="0" w:line="240" w:lineRule="auto"/>
        <w:jc w:val="both"/>
      </w:pPr>
    </w:p>
    <w:p w14:paraId="5B501E84" w14:textId="0481794E" w:rsidR="0003424A" w:rsidRDefault="0003424A" w:rsidP="0003424A">
      <w:pPr>
        <w:spacing w:after="0" w:line="240" w:lineRule="auto"/>
        <w:jc w:val="both"/>
      </w:pPr>
    </w:p>
    <w:p w14:paraId="0A8E6AAD" w14:textId="3BB2C85A" w:rsidR="0003424A" w:rsidRDefault="0003424A" w:rsidP="0003424A">
      <w:pPr>
        <w:spacing w:after="0" w:line="240" w:lineRule="auto"/>
        <w:jc w:val="both"/>
      </w:pPr>
    </w:p>
    <w:p w14:paraId="39928934" w14:textId="2EAA4E90" w:rsidR="0003424A" w:rsidRDefault="0003424A" w:rsidP="0003424A">
      <w:pPr>
        <w:spacing w:after="0" w:line="240" w:lineRule="auto"/>
        <w:jc w:val="both"/>
      </w:pPr>
    </w:p>
    <w:p w14:paraId="196FDC6C" w14:textId="57706427" w:rsidR="0003424A" w:rsidRDefault="0003424A" w:rsidP="0003424A">
      <w:pPr>
        <w:spacing w:after="0" w:line="240" w:lineRule="auto"/>
        <w:jc w:val="both"/>
      </w:pPr>
    </w:p>
    <w:p w14:paraId="72D3525F" w14:textId="1CA897C4" w:rsidR="0003424A" w:rsidRDefault="0003424A" w:rsidP="0003424A">
      <w:pPr>
        <w:spacing w:after="0" w:line="240" w:lineRule="auto"/>
        <w:jc w:val="both"/>
      </w:pPr>
    </w:p>
    <w:p w14:paraId="53EC9FF5" w14:textId="77777777" w:rsidR="0003424A" w:rsidRDefault="0003424A" w:rsidP="0003424A">
      <w:pPr>
        <w:spacing w:after="0" w:line="240" w:lineRule="auto"/>
        <w:jc w:val="both"/>
      </w:pPr>
    </w:p>
    <w:p w14:paraId="0F866DF6" w14:textId="019808A7" w:rsidR="0003424A" w:rsidRDefault="0003424A" w:rsidP="0003424A">
      <w:pPr>
        <w:spacing w:after="0" w:line="240" w:lineRule="auto"/>
        <w:jc w:val="both"/>
      </w:pPr>
    </w:p>
    <w:p w14:paraId="1BA6DD38" w14:textId="46B77632" w:rsidR="0003424A" w:rsidRDefault="0003424A" w:rsidP="0003424A">
      <w:pPr>
        <w:spacing w:after="0" w:line="240" w:lineRule="auto"/>
        <w:jc w:val="both"/>
      </w:pPr>
    </w:p>
    <w:p w14:paraId="5E15C254" w14:textId="42ABB56E" w:rsidR="0003424A" w:rsidRDefault="0003424A" w:rsidP="0003424A">
      <w:pPr>
        <w:spacing w:after="0" w:line="240" w:lineRule="auto"/>
        <w:jc w:val="both"/>
      </w:pPr>
    </w:p>
    <w:p w14:paraId="4454F9A0" w14:textId="77777777" w:rsidR="00640B4E" w:rsidRDefault="00640B4E" w:rsidP="0003424A">
      <w:pPr>
        <w:spacing w:after="0" w:line="240" w:lineRule="auto"/>
        <w:jc w:val="both"/>
      </w:pPr>
    </w:p>
    <w:p w14:paraId="19BBF7C5" w14:textId="77777777" w:rsidR="00640B4E" w:rsidRDefault="00640B4E" w:rsidP="0003424A">
      <w:pPr>
        <w:spacing w:after="0" w:line="240" w:lineRule="auto"/>
        <w:ind w:firstLine="709"/>
        <w:jc w:val="center"/>
        <w:rPr>
          <w:rFonts w:ascii="Times New Roman" w:hAnsi="Times New Roman" w:cs="Times New Roman"/>
          <w:b/>
          <w:bCs/>
          <w:sz w:val="52"/>
          <w:szCs w:val="52"/>
        </w:rPr>
      </w:pPr>
    </w:p>
    <w:p w14:paraId="11D99DC2" w14:textId="77777777" w:rsidR="00640B4E" w:rsidRDefault="00640B4E" w:rsidP="0003424A">
      <w:pPr>
        <w:spacing w:after="0" w:line="240" w:lineRule="auto"/>
        <w:ind w:firstLine="709"/>
        <w:jc w:val="center"/>
        <w:rPr>
          <w:rFonts w:ascii="Times New Roman" w:hAnsi="Times New Roman" w:cs="Times New Roman"/>
          <w:b/>
          <w:bCs/>
          <w:sz w:val="52"/>
          <w:szCs w:val="52"/>
        </w:rPr>
      </w:pPr>
    </w:p>
    <w:p w14:paraId="01F60E39" w14:textId="77777777" w:rsidR="00640B4E" w:rsidRDefault="00640B4E" w:rsidP="0003424A">
      <w:pPr>
        <w:spacing w:after="0" w:line="240" w:lineRule="auto"/>
        <w:ind w:firstLine="709"/>
        <w:jc w:val="center"/>
        <w:rPr>
          <w:rFonts w:ascii="Times New Roman" w:hAnsi="Times New Roman" w:cs="Times New Roman"/>
          <w:b/>
          <w:bCs/>
          <w:sz w:val="52"/>
          <w:szCs w:val="52"/>
        </w:rPr>
      </w:pPr>
    </w:p>
    <w:p w14:paraId="3C782CE8" w14:textId="77777777" w:rsidR="00640B4E" w:rsidRDefault="00640B4E" w:rsidP="0003424A">
      <w:pPr>
        <w:spacing w:after="0" w:line="240" w:lineRule="auto"/>
        <w:ind w:firstLine="709"/>
        <w:jc w:val="center"/>
        <w:rPr>
          <w:rFonts w:ascii="Times New Roman" w:hAnsi="Times New Roman" w:cs="Times New Roman"/>
          <w:b/>
          <w:bCs/>
          <w:sz w:val="52"/>
          <w:szCs w:val="52"/>
        </w:rPr>
      </w:pPr>
    </w:p>
    <w:p w14:paraId="1FCB4842" w14:textId="578C4D23" w:rsidR="0003424A" w:rsidRPr="00D93E98" w:rsidRDefault="0003424A" w:rsidP="0003424A">
      <w:pPr>
        <w:spacing w:after="0" w:line="240" w:lineRule="auto"/>
        <w:ind w:firstLine="709"/>
        <w:jc w:val="center"/>
        <w:rPr>
          <w:rFonts w:ascii="Times New Roman" w:hAnsi="Times New Roman" w:cs="Times New Roman"/>
          <w:b/>
          <w:bCs/>
          <w:sz w:val="52"/>
          <w:szCs w:val="52"/>
        </w:rPr>
      </w:pPr>
      <w:r w:rsidRPr="00D93E98">
        <w:rPr>
          <w:rFonts w:ascii="Times New Roman" w:hAnsi="Times New Roman" w:cs="Times New Roman"/>
          <w:b/>
          <w:bCs/>
          <w:sz w:val="52"/>
          <w:szCs w:val="52"/>
        </w:rPr>
        <w:t>РУКОВОДСТВО</w:t>
      </w:r>
    </w:p>
    <w:p w14:paraId="549FC0A6" w14:textId="79DE10CA" w:rsidR="0003424A" w:rsidRDefault="0003424A" w:rsidP="0003424A">
      <w:pPr>
        <w:spacing w:after="0" w:line="240" w:lineRule="auto"/>
        <w:ind w:firstLine="709"/>
        <w:jc w:val="center"/>
        <w:rPr>
          <w:rFonts w:ascii="Times New Roman" w:hAnsi="Times New Roman" w:cs="Times New Roman"/>
          <w:sz w:val="48"/>
          <w:szCs w:val="48"/>
        </w:rPr>
      </w:pPr>
      <w:r w:rsidRPr="00D93E98">
        <w:rPr>
          <w:rFonts w:ascii="Times New Roman" w:hAnsi="Times New Roman" w:cs="Times New Roman"/>
          <w:sz w:val="48"/>
          <w:szCs w:val="48"/>
        </w:rPr>
        <w:t xml:space="preserve">по </w:t>
      </w:r>
      <w:r>
        <w:rPr>
          <w:rFonts w:ascii="Times New Roman" w:hAnsi="Times New Roman" w:cs="Times New Roman"/>
          <w:sz w:val="48"/>
          <w:szCs w:val="48"/>
        </w:rPr>
        <w:t>формированию сметы проекта</w:t>
      </w:r>
    </w:p>
    <w:p w14:paraId="072C1C89" w14:textId="326F081D" w:rsidR="0062284D" w:rsidRPr="0062284D" w:rsidRDefault="0062284D" w:rsidP="0062284D">
      <w:pPr>
        <w:spacing w:after="0" w:line="240" w:lineRule="auto"/>
        <w:ind w:firstLine="709"/>
        <w:jc w:val="center"/>
        <w:rPr>
          <w:rFonts w:ascii="Times New Roman" w:hAnsi="Times New Roman" w:cs="Times New Roman"/>
          <w:b/>
          <w:sz w:val="48"/>
          <w:szCs w:val="48"/>
        </w:rPr>
      </w:pPr>
      <w:r w:rsidRPr="0062284D">
        <w:rPr>
          <w:rFonts w:ascii="Times New Roman" w:hAnsi="Times New Roman" w:cs="Times New Roman"/>
          <w:sz w:val="48"/>
          <w:szCs w:val="48"/>
        </w:rPr>
        <w:t xml:space="preserve">по программе </w:t>
      </w:r>
      <w:r w:rsidRPr="0062284D">
        <w:rPr>
          <w:rFonts w:ascii="Times New Roman" w:hAnsi="Times New Roman" w:cs="Times New Roman"/>
          <w:b/>
          <w:bCs/>
          <w:sz w:val="48"/>
          <w:szCs w:val="48"/>
        </w:rPr>
        <w:t>«</w:t>
      </w:r>
      <w:r w:rsidR="000C7288">
        <w:rPr>
          <w:rFonts w:ascii="Times New Roman" w:hAnsi="Times New Roman" w:cs="Times New Roman"/>
          <w:b/>
          <w:sz w:val="48"/>
          <w:szCs w:val="48"/>
        </w:rPr>
        <w:t>Повышение производительности труда</w:t>
      </w:r>
      <w:r w:rsidRPr="0062284D">
        <w:rPr>
          <w:rFonts w:ascii="Times New Roman" w:hAnsi="Times New Roman" w:cs="Times New Roman"/>
          <w:b/>
          <w:sz w:val="48"/>
          <w:szCs w:val="48"/>
        </w:rPr>
        <w:t>»</w:t>
      </w:r>
    </w:p>
    <w:p w14:paraId="5737211F" w14:textId="77777777" w:rsidR="0062284D" w:rsidRDefault="0062284D" w:rsidP="0003424A">
      <w:pPr>
        <w:spacing w:after="0" w:line="240" w:lineRule="auto"/>
        <w:ind w:firstLine="709"/>
        <w:jc w:val="center"/>
        <w:rPr>
          <w:rFonts w:ascii="Times New Roman" w:hAnsi="Times New Roman" w:cs="Times New Roman"/>
          <w:sz w:val="48"/>
          <w:szCs w:val="48"/>
        </w:rPr>
      </w:pPr>
    </w:p>
    <w:p w14:paraId="0FAE94BF" w14:textId="5B2A0570" w:rsidR="0003424A" w:rsidRDefault="0003424A" w:rsidP="0003424A">
      <w:pPr>
        <w:spacing w:after="0" w:line="240" w:lineRule="auto"/>
        <w:ind w:firstLine="709"/>
        <w:rPr>
          <w:rFonts w:ascii="Times New Roman" w:hAnsi="Times New Roman" w:cs="Times New Roman"/>
          <w:sz w:val="48"/>
          <w:szCs w:val="48"/>
        </w:rPr>
      </w:pPr>
    </w:p>
    <w:p w14:paraId="378D2134" w14:textId="6EE00893" w:rsidR="0003424A" w:rsidRDefault="0003424A" w:rsidP="0003424A">
      <w:pPr>
        <w:spacing w:after="0" w:line="240" w:lineRule="auto"/>
        <w:ind w:firstLine="709"/>
        <w:rPr>
          <w:rFonts w:ascii="Times New Roman" w:hAnsi="Times New Roman" w:cs="Times New Roman"/>
          <w:sz w:val="48"/>
          <w:szCs w:val="48"/>
        </w:rPr>
      </w:pPr>
    </w:p>
    <w:p w14:paraId="3C3F9C1C" w14:textId="031EB483" w:rsidR="0003424A" w:rsidRDefault="0003424A" w:rsidP="0003424A">
      <w:pPr>
        <w:spacing w:after="0" w:line="240" w:lineRule="auto"/>
        <w:ind w:firstLine="709"/>
        <w:rPr>
          <w:rFonts w:ascii="Times New Roman" w:hAnsi="Times New Roman" w:cs="Times New Roman"/>
          <w:sz w:val="48"/>
          <w:szCs w:val="48"/>
        </w:rPr>
      </w:pPr>
    </w:p>
    <w:p w14:paraId="6F54BE4D" w14:textId="3D167E90" w:rsidR="0003424A" w:rsidRDefault="0003424A" w:rsidP="0003424A">
      <w:pPr>
        <w:spacing w:after="0" w:line="240" w:lineRule="auto"/>
        <w:ind w:firstLine="709"/>
        <w:rPr>
          <w:rFonts w:ascii="Times New Roman" w:hAnsi="Times New Roman" w:cs="Times New Roman"/>
          <w:sz w:val="48"/>
          <w:szCs w:val="48"/>
        </w:rPr>
      </w:pPr>
    </w:p>
    <w:p w14:paraId="211591E7" w14:textId="5866FDA1" w:rsidR="0003424A" w:rsidRDefault="0003424A" w:rsidP="0003424A">
      <w:pPr>
        <w:spacing w:after="0" w:line="240" w:lineRule="auto"/>
        <w:ind w:firstLine="709"/>
        <w:rPr>
          <w:rFonts w:ascii="Times New Roman" w:hAnsi="Times New Roman" w:cs="Times New Roman"/>
          <w:sz w:val="48"/>
          <w:szCs w:val="48"/>
        </w:rPr>
      </w:pPr>
    </w:p>
    <w:p w14:paraId="538AFD32" w14:textId="2FC860EF" w:rsidR="0003424A" w:rsidRDefault="0003424A" w:rsidP="0003424A">
      <w:pPr>
        <w:spacing w:after="0" w:line="240" w:lineRule="auto"/>
        <w:ind w:firstLine="709"/>
        <w:rPr>
          <w:rFonts w:ascii="Times New Roman" w:hAnsi="Times New Roman" w:cs="Times New Roman"/>
          <w:sz w:val="48"/>
          <w:szCs w:val="48"/>
        </w:rPr>
      </w:pPr>
    </w:p>
    <w:p w14:paraId="4E3B2C40" w14:textId="099C0443" w:rsidR="0003424A" w:rsidRDefault="0003424A" w:rsidP="0003424A">
      <w:pPr>
        <w:spacing w:after="0" w:line="240" w:lineRule="auto"/>
        <w:ind w:firstLine="709"/>
        <w:rPr>
          <w:rFonts w:ascii="Times New Roman" w:hAnsi="Times New Roman" w:cs="Times New Roman"/>
          <w:sz w:val="48"/>
          <w:szCs w:val="48"/>
        </w:rPr>
      </w:pPr>
    </w:p>
    <w:p w14:paraId="4F1D7601" w14:textId="445DDAF0" w:rsidR="0003424A" w:rsidRDefault="0003424A" w:rsidP="0003424A">
      <w:pPr>
        <w:spacing w:after="0" w:line="240" w:lineRule="auto"/>
        <w:ind w:firstLine="709"/>
        <w:rPr>
          <w:rFonts w:ascii="Times New Roman" w:hAnsi="Times New Roman" w:cs="Times New Roman"/>
          <w:sz w:val="48"/>
          <w:szCs w:val="48"/>
        </w:rPr>
      </w:pPr>
    </w:p>
    <w:p w14:paraId="475D67EC" w14:textId="487B976D" w:rsidR="0003424A" w:rsidRDefault="0003424A" w:rsidP="0003424A">
      <w:pPr>
        <w:spacing w:after="0" w:line="240" w:lineRule="auto"/>
        <w:ind w:firstLine="709"/>
        <w:rPr>
          <w:rFonts w:ascii="Times New Roman" w:hAnsi="Times New Roman" w:cs="Times New Roman"/>
          <w:sz w:val="48"/>
          <w:szCs w:val="48"/>
        </w:rPr>
      </w:pPr>
    </w:p>
    <w:p w14:paraId="1A470B12" w14:textId="140982C4" w:rsidR="0003424A" w:rsidRDefault="0003424A">
      <w:pPr>
        <w:rPr>
          <w:rFonts w:ascii="Times New Roman" w:hAnsi="Times New Roman" w:cs="Times New Roman"/>
          <w:sz w:val="24"/>
          <w:szCs w:val="24"/>
        </w:rPr>
      </w:pPr>
      <w:r>
        <w:rPr>
          <w:rFonts w:ascii="Times New Roman" w:hAnsi="Times New Roman" w:cs="Times New Roman"/>
          <w:sz w:val="24"/>
          <w:szCs w:val="24"/>
        </w:rPr>
        <w:br w:type="page"/>
      </w:r>
    </w:p>
    <w:p w14:paraId="2A181E06" w14:textId="77777777" w:rsidR="00AA2E0D" w:rsidRPr="00AA2E0D" w:rsidRDefault="00AA2E0D" w:rsidP="00AA2E0D">
      <w:pPr>
        <w:spacing w:before="60" w:after="60" w:line="240" w:lineRule="auto"/>
        <w:ind w:firstLine="709"/>
        <w:jc w:val="center"/>
        <w:rPr>
          <w:rFonts w:ascii="Times New Roman" w:hAnsi="Times New Roman" w:cs="Times New Roman"/>
          <w:b/>
          <w:bCs/>
          <w:sz w:val="28"/>
          <w:szCs w:val="28"/>
        </w:rPr>
      </w:pPr>
      <w:r w:rsidRPr="00AA2E0D">
        <w:rPr>
          <w:rFonts w:ascii="Times New Roman" w:hAnsi="Times New Roman" w:cs="Times New Roman"/>
          <w:b/>
          <w:bCs/>
          <w:sz w:val="28"/>
          <w:szCs w:val="28"/>
        </w:rPr>
        <w:lastRenderedPageBreak/>
        <w:t>Уважаемый Заявитель!</w:t>
      </w:r>
    </w:p>
    <w:p w14:paraId="7A44A75D" w14:textId="77777777" w:rsidR="00AA2E0D" w:rsidRPr="00AA2E0D" w:rsidRDefault="00AA2E0D" w:rsidP="00AA2E0D">
      <w:pPr>
        <w:spacing w:before="60" w:after="60" w:line="240" w:lineRule="auto"/>
        <w:ind w:firstLine="709"/>
        <w:jc w:val="both"/>
        <w:rPr>
          <w:rFonts w:ascii="Times New Roman" w:hAnsi="Times New Roman" w:cs="Times New Roman"/>
          <w:sz w:val="24"/>
          <w:szCs w:val="24"/>
        </w:rPr>
      </w:pPr>
    </w:p>
    <w:p w14:paraId="36D59D29" w14:textId="77777777" w:rsidR="00AA2E0D" w:rsidRPr="00AA2E0D" w:rsidRDefault="00AA2E0D" w:rsidP="00AA2E0D">
      <w:pPr>
        <w:spacing w:before="60" w:after="60" w:line="240" w:lineRule="auto"/>
        <w:ind w:firstLine="709"/>
        <w:jc w:val="both"/>
        <w:rPr>
          <w:rFonts w:ascii="Times New Roman" w:hAnsi="Times New Roman" w:cs="Times New Roman"/>
          <w:sz w:val="24"/>
          <w:szCs w:val="24"/>
        </w:rPr>
      </w:pPr>
      <w:r w:rsidRPr="00AA2E0D">
        <w:rPr>
          <w:rFonts w:ascii="Times New Roman" w:hAnsi="Times New Roman" w:cs="Times New Roman"/>
          <w:sz w:val="24"/>
          <w:szCs w:val="24"/>
        </w:rPr>
        <w:t>Смета проекта – документ, определяющий порядок и условия несения расходов в проекте как в части средств займа, так и в части средств софинансирования проекта со стороны заявителя. В смете проекта отражаются все расходы, включенные в бюджет проекта, определение которого дано в Стандартах Фонда, до момента запуска серийного производства. Все суммы расходов в смете проекта, в том числе за счет средств займа, указываются с учетом НДС.</w:t>
      </w:r>
    </w:p>
    <w:p w14:paraId="2C6C07F3" w14:textId="44C55CAC" w:rsidR="00AA2E0D" w:rsidRPr="00AA2E0D" w:rsidRDefault="00AA2E0D" w:rsidP="00AA2E0D">
      <w:pPr>
        <w:spacing w:before="60" w:after="60" w:line="240" w:lineRule="auto"/>
        <w:ind w:firstLine="709"/>
        <w:jc w:val="both"/>
        <w:rPr>
          <w:rFonts w:ascii="Times New Roman" w:hAnsi="Times New Roman" w:cs="Times New Roman"/>
          <w:sz w:val="24"/>
          <w:szCs w:val="24"/>
        </w:rPr>
      </w:pPr>
      <w:r w:rsidRPr="00AA2E0D">
        <w:rPr>
          <w:rFonts w:ascii="Times New Roman" w:hAnsi="Times New Roman" w:cs="Times New Roman"/>
          <w:sz w:val="24"/>
          <w:szCs w:val="24"/>
        </w:rPr>
        <w:t>Смета проекта содержательно связана с Календарным планом проекта – при заполнении этих документов Вы должны обратить внимание на то, что расходы по Смете должны соотноситься с работами, запланированными в Календарном плане. Мы рекомендуем Вам дополнительно ознакомиться с Рекомендациями по заполнению Календарного плана проекта.</w:t>
      </w:r>
    </w:p>
    <w:p w14:paraId="27677F6F" w14:textId="3779323F" w:rsidR="00AA2E0D" w:rsidRPr="00AA2E0D" w:rsidRDefault="00AA2E0D" w:rsidP="00AA2E0D">
      <w:pPr>
        <w:spacing w:before="60" w:after="60" w:line="240" w:lineRule="auto"/>
        <w:ind w:firstLine="709"/>
        <w:jc w:val="both"/>
        <w:rPr>
          <w:rFonts w:ascii="Times New Roman" w:hAnsi="Times New Roman" w:cs="Times New Roman"/>
          <w:sz w:val="24"/>
          <w:szCs w:val="24"/>
        </w:rPr>
      </w:pPr>
      <w:r w:rsidRPr="00AA2E0D">
        <w:rPr>
          <w:rFonts w:ascii="Times New Roman" w:hAnsi="Times New Roman" w:cs="Times New Roman"/>
          <w:sz w:val="24"/>
          <w:szCs w:val="24"/>
        </w:rPr>
        <w:t>Распределение средств в Смете должно соотв</w:t>
      </w:r>
      <w:r w:rsidR="00D27DC4">
        <w:rPr>
          <w:rFonts w:ascii="Times New Roman" w:hAnsi="Times New Roman" w:cs="Times New Roman"/>
          <w:sz w:val="24"/>
          <w:szCs w:val="24"/>
        </w:rPr>
        <w:t>етствовать требованиям Стандарта «Повышение производительности труда»,</w:t>
      </w:r>
      <w:r w:rsidRPr="00AA2E0D">
        <w:rPr>
          <w:rFonts w:ascii="Times New Roman" w:hAnsi="Times New Roman" w:cs="Times New Roman"/>
          <w:sz w:val="24"/>
          <w:szCs w:val="24"/>
        </w:rPr>
        <w:t xml:space="preserve"> деятельности </w:t>
      </w:r>
      <w:r w:rsidR="00DD2ACF">
        <w:rPr>
          <w:rFonts w:ascii="Times New Roman" w:hAnsi="Times New Roman" w:cs="Times New Roman"/>
          <w:sz w:val="24"/>
          <w:szCs w:val="24"/>
        </w:rPr>
        <w:t xml:space="preserve">Государственного </w:t>
      </w:r>
      <w:r w:rsidRPr="00AA2E0D">
        <w:rPr>
          <w:rFonts w:ascii="Times New Roman" w:hAnsi="Times New Roman" w:cs="Times New Roman"/>
          <w:sz w:val="24"/>
          <w:szCs w:val="24"/>
        </w:rPr>
        <w:t>Фонда развития промышленности</w:t>
      </w:r>
      <w:r w:rsidR="00DD2ACF">
        <w:rPr>
          <w:rFonts w:ascii="Times New Roman" w:hAnsi="Times New Roman" w:cs="Times New Roman"/>
          <w:sz w:val="24"/>
          <w:szCs w:val="24"/>
        </w:rPr>
        <w:t xml:space="preserve"> Рязанской области</w:t>
      </w:r>
      <w:r w:rsidRPr="00AA2E0D">
        <w:rPr>
          <w:rFonts w:ascii="Times New Roman" w:hAnsi="Times New Roman" w:cs="Times New Roman"/>
          <w:sz w:val="24"/>
          <w:szCs w:val="24"/>
        </w:rPr>
        <w:t xml:space="preserve"> (далее – Фонд) в части программы финансирования и ограничений, установленных в отношении отдельных групп расходов.</w:t>
      </w:r>
    </w:p>
    <w:p w14:paraId="6CA1BDAC" w14:textId="7B455490" w:rsidR="00AA2E0D" w:rsidRPr="00AA2E0D" w:rsidRDefault="00AA2E0D" w:rsidP="00AA2E0D">
      <w:pPr>
        <w:spacing w:before="60" w:after="60" w:line="240" w:lineRule="auto"/>
        <w:ind w:firstLine="709"/>
        <w:jc w:val="both"/>
        <w:rPr>
          <w:rFonts w:ascii="Times New Roman" w:hAnsi="Times New Roman" w:cs="Times New Roman"/>
          <w:sz w:val="24"/>
          <w:szCs w:val="24"/>
        </w:rPr>
      </w:pPr>
      <w:r w:rsidRPr="00AA2E0D">
        <w:rPr>
          <w:rFonts w:ascii="Times New Roman" w:hAnsi="Times New Roman" w:cs="Times New Roman"/>
          <w:sz w:val="24"/>
          <w:szCs w:val="24"/>
        </w:rPr>
        <w:t>Поэтому крайне важно, чтобы до начала работы со Сметой Вы ознакомились с требованиями Стандартов</w:t>
      </w:r>
      <w:r w:rsidR="00CA717E">
        <w:rPr>
          <w:rFonts w:ascii="Times New Roman" w:hAnsi="Times New Roman" w:cs="Times New Roman"/>
          <w:sz w:val="24"/>
          <w:szCs w:val="24"/>
        </w:rPr>
        <w:t>, которые расположены</w:t>
      </w:r>
      <w:r w:rsidR="00CA717E" w:rsidRPr="00CA717E">
        <w:rPr>
          <w:rFonts w:ascii="Times New Roman" w:hAnsi="Times New Roman" w:cs="Times New Roman"/>
          <w:sz w:val="24"/>
          <w:szCs w:val="24"/>
        </w:rPr>
        <w:t xml:space="preserve"> </w:t>
      </w:r>
      <w:r w:rsidR="00CA717E" w:rsidRPr="00AA2E0D">
        <w:rPr>
          <w:rFonts w:ascii="Times New Roman" w:hAnsi="Times New Roman" w:cs="Times New Roman"/>
          <w:sz w:val="24"/>
          <w:szCs w:val="24"/>
        </w:rPr>
        <w:t>на сайт</w:t>
      </w:r>
      <w:r w:rsidR="00CA717E">
        <w:rPr>
          <w:rFonts w:ascii="Times New Roman" w:hAnsi="Times New Roman" w:cs="Times New Roman"/>
          <w:sz w:val="24"/>
          <w:szCs w:val="24"/>
        </w:rPr>
        <w:t>е</w:t>
      </w:r>
      <w:r w:rsidR="00CA717E" w:rsidRPr="00AA2E0D">
        <w:rPr>
          <w:rFonts w:ascii="Times New Roman" w:hAnsi="Times New Roman" w:cs="Times New Roman"/>
          <w:sz w:val="24"/>
          <w:szCs w:val="24"/>
        </w:rPr>
        <w:t xml:space="preserve"> Фонда</w:t>
      </w:r>
      <w:r w:rsidR="00CA717E">
        <w:rPr>
          <w:rFonts w:ascii="Times New Roman" w:hAnsi="Times New Roman" w:cs="Times New Roman"/>
          <w:sz w:val="24"/>
          <w:szCs w:val="24"/>
        </w:rPr>
        <w:t xml:space="preserve"> </w:t>
      </w:r>
      <w:hyperlink r:id="rId10" w:history="1">
        <w:r w:rsidR="00CA717E" w:rsidRPr="00DD2ACF">
          <w:rPr>
            <w:rStyle w:val="aa"/>
            <w:rFonts w:ascii="Times New Roman" w:hAnsi="Times New Roman" w:cs="Times New Roman"/>
            <w:sz w:val="24"/>
            <w:szCs w:val="24"/>
          </w:rPr>
          <w:t>http://www.frp62.ru/</w:t>
        </w:r>
      </w:hyperlink>
      <w:r w:rsidR="00CA717E">
        <w:rPr>
          <w:rFonts w:ascii="Times New Roman" w:hAnsi="Times New Roman" w:cs="Times New Roman"/>
          <w:sz w:val="24"/>
          <w:szCs w:val="24"/>
        </w:rPr>
        <w:t xml:space="preserve">  в разделе, соответствующем выбранной программе финансирования</w:t>
      </w:r>
      <w:r w:rsidRPr="00AA2E0D">
        <w:rPr>
          <w:rFonts w:ascii="Times New Roman" w:hAnsi="Times New Roman" w:cs="Times New Roman"/>
          <w:sz w:val="24"/>
          <w:szCs w:val="24"/>
        </w:rPr>
        <w:t>.</w:t>
      </w:r>
    </w:p>
    <w:p w14:paraId="38F48984" w14:textId="3CE5D719" w:rsidR="00AA2E0D" w:rsidRPr="00AA2E0D" w:rsidRDefault="00AA2E0D" w:rsidP="00AA2E0D">
      <w:pPr>
        <w:spacing w:before="60" w:after="60" w:line="240" w:lineRule="auto"/>
        <w:ind w:firstLine="709"/>
        <w:jc w:val="both"/>
        <w:rPr>
          <w:rFonts w:ascii="Times New Roman" w:hAnsi="Times New Roman" w:cs="Times New Roman"/>
          <w:sz w:val="24"/>
          <w:szCs w:val="24"/>
        </w:rPr>
      </w:pPr>
      <w:r w:rsidRPr="00AA2E0D">
        <w:rPr>
          <w:rFonts w:ascii="Times New Roman" w:hAnsi="Times New Roman" w:cs="Times New Roman"/>
          <w:sz w:val="24"/>
          <w:szCs w:val="24"/>
        </w:rPr>
        <w:t>Смета проекта – значимый документ для оценки проекта экспертами Фонда, она во многом определяет возможность реализации проекта в заданном Вами бюджете.</w:t>
      </w:r>
      <w:r w:rsidR="00D27DC4">
        <w:rPr>
          <w:rFonts w:ascii="Times New Roman" w:hAnsi="Times New Roman" w:cs="Times New Roman"/>
          <w:sz w:val="24"/>
          <w:szCs w:val="24"/>
        </w:rPr>
        <w:t xml:space="preserve"> </w:t>
      </w:r>
      <w:r w:rsidRPr="00AA2E0D">
        <w:rPr>
          <w:rFonts w:ascii="Times New Roman" w:hAnsi="Times New Roman" w:cs="Times New Roman"/>
          <w:sz w:val="24"/>
          <w:szCs w:val="24"/>
        </w:rPr>
        <w:t>Смета проекта впоследствии будет являться частью договора целевого займа, заключаемого с Фондом.</w:t>
      </w:r>
      <w:r w:rsidR="00D27DC4">
        <w:rPr>
          <w:rFonts w:ascii="Times New Roman" w:hAnsi="Times New Roman" w:cs="Times New Roman"/>
          <w:sz w:val="24"/>
          <w:szCs w:val="24"/>
        </w:rPr>
        <w:t xml:space="preserve"> </w:t>
      </w:r>
      <w:r w:rsidRPr="00AA2E0D">
        <w:rPr>
          <w:rFonts w:ascii="Times New Roman" w:hAnsi="Times New Roman" w:cs="Times New Roman"/>
          <w:sz w:val="24"/>
          <w:szCs w:val="24"/>
        </w:rPr>
        <w:t>Для Вашего удобства и в целях соблюдения Стандартов Фонда мы подготовили настоящее Руководство по формированию Сметы проекта.</w:t>
      </w:r>
    </w:p>
    <w:p w14:paraId="6EFF0317" w14:textId="010B2626" w:rsidR="00AA2E0D" w:rsidRPr="00AA2E0D" w:rsidRDefault="00AA2E0D" w:rsidP="00AA2E0D">
      <w:pPr>
        <w:spacing w:before="60" w:after="60" w:line="240" w:lineRule="auto"/>
        <w:ind w:firstLine="709"/>
        <w:jc w:val="both"/>
        <w:rPr>
          <w:rFonts w:ascii="Times New Roman" w:hAnsi="Times New Roman" w:cs="Times New Roman"/>
          <w:b/>
          <w:bCs/>
          <w:sz w:val="24"/>
          <w:szCs w:val="24"/>
        </w:rPr>
      </w:pPr>
      <w:r w:rsidRPr="00AA2E0D">
        <w:rPr>
          <w:rFonts w:ascii="Times New Roman" w:hAnsi="Times New Roman" w:cs="Times New Roman"/>
          <w:b/>
          <w:bCs/>
          <w:sz w:val="24"/>
          <w:szCs w:val="24"/>
        </w:rPr>
        <w:t>ВАЖНО</w:t>
      </w:r>
      <w:r>
        <w:rPr>
          <w:rFonts w:ascii="Times New Roman" w:hAnsi="Times New Roman" w:cs="Times New Roman"/>
          <w:b/>
          <w:bCs/>
          <w:sz w:val="24"/>
          <w:szCs w:val="24"/>
        </w:rPr>
        <w:t>:</w:t>
      </w:r>
    </w:p>
    <w:p w14:paraId="7CAADD49" w14:textId="1C0F7807" w:rsidR="008C6ABF" w:rsidRDefault="00AA2E0D" w:rsidP="0061725A">
      <w:pPr>
        <w:spacing w:before="60" w:after="60" w:line="240" w:lineRule="auto"/>
        <w:ind w:firstLine="709"/>
        <w:jc w:val="both"/>
        <w:rPr>
          <w:rFonts w:ascii="Times New Roman" w:hAnsi="Times New Roman" w:cs="Times New Roman"/>
          <w:sz w:val="24"/>
          <w:szCs w:val="24"/>
        </w:rPr>
        <w:sectPr w:rsidR="008C6ABF" w:rsidSect="0003424A">
          <w:headerReference w:type="default" r:id="rId11"/>
          <w:footerReference w:type="default" r:id="rId12"/>
          <w:pgSz w:w="11906" w:h="16838"/>
          <w:pgMar w:top="1134" w:right="567" w:bottom="1134" w:left="1134" w:header="708" w:footer="708" w:gutter="0"/>
          <w:cols w:space="708"/>
          <w:titlePg/>
          <w:docGrid w:linePitch="360"/>
        </w:sectPr>
      </w:pPr>
      <w:r w:rsidRPr="00AA2E0D">
        <w:rPr>
          <w:rFonts w:ascii="Times New Roman" w:hAnsi="Times New Roman" w:cs="Times New Roman"/>
          <w:sz w:val="24"/>
          <w:szCs w:val="24"/>
        </w:rPr>
        <w:t>Руководство по формированию сметы проекта носит методический, рекомендательный характер.</w:t>
      </w:r>
      <w:r w:rsidR="0061725A" w:rsidRPr="0061725A">
        <w:t xml:space="preserve"> </w:t>
      </w:r>
      <w:r w:rsidR="0061725A" w:rsidRPr="0061725A">
        <w:rPr>
          <w:rFonts w:ascii="Times New Roman" w:hAnsi="Times New Roman" w:cs="Times New Roman"/>
          <w:sz w:val="24"/>
          <w:szCs w:val="24"/>
        </w:rPr>
        <w:t>Основными документами, регламентирующими порядок и условия расходования средств займа, являются Стандарты деятельности Фонда, а также – договор займа, типовая форма которого представлена на сайте Фонда.</w:t>
      </w:r>
    </w:p>
    <w:p w14:paraId="711752C8" w14:textId="3E3B1BEB" w:rsidR="0000551D" w:rsidRDefault="0000551D" w:rsidP="0000551D">
      <w:pPr>
        <w:spacing w:before="60" w:after="60" w:line="240" w:lineRule="auto"/>
        <w:ind w:firstLine="709"/>
        <w:jc w:val="both"/>
        <w:rPr>
          <w:rFonts w:ascii="Times New Roman" w:hAnsi="Times New Roman" w:cs="Times New Roman"/>
          <w:sz w:val="24"/>
          <w:szCs w:val="24"/>
        </w:rPr>
      </w:pPr>
    </w:p>
    <w:p w14:paraId="187C6043" w14:textId="77777777" w:rsidR="0061725A" w:rsidRDefault="0061725A" w:rsidP="0000551D">
      <w:pPr>
        <w:spacing w:before="60" w:after="60" w:line="240" w:lineRule="auto"/>
        <w:ind w:firstLine="709"/>
        <w:jc w:val="both"/>
        <w:rPr>
          <w:rFonts w:ascii="Times New Roman" w:hAnsi="Times New Roman" w:cs="Times New Roman"/>
          <w:sz w:val="24"/>
          <w:szCs w:val="24"/>
        </w:rPr>
      </w:pPr>
    </w:p>
    <w:p w14:paraId="6ACA8135" w14:textId="26097E00" w:rsidR="00347E8D" w:rsidRDefault="00347E8D" w:rsidP="00347E8D">
      <w:pPr>
        <w:keepNext/>
        <w:shd w:val="clear" w:color="auto" w:fill="00B0F0"/>
        <w:autoSpaceDE w:val="0"/>
        <w:autoSpaceDN w:val="0"/>
        <w:spacing w:after="0" w:line="240" w:lineRule="auto"/>
        <w:ind w:left="284" w:right="283"/>
        <w:jc w:val="center"/>
        <w:outlineLvl w:val="2"/>
        <w:rPr>
          <w:rFonts w:ascii="Times New Roman" w:hAnsi="Times New Roman" w:cs="Times New Roman"/>
          <w:b/>
          <w:bCs/>
          <w:sz w:val="28"/>
          <w:szCs w:val="28"/>
        </w:rPr>
      </w:pPr>
      <w:r w:rsidRPr="00347E8D">
        <w:rPr>
          <w:rFonts w:ascii="Times New Roman" w:hAnsi="Times New Roman" w:cs="Times New Roman"/>
          <w:b/>
          <w:bCs/>
          <w:sz w:val="28"/>
          <w:szCs w:val="28"/>
        </w:rPr>
        <w:t>Типовая форма Сметы проекта по программе «Повышение производительности труда»</w:t>
      </w:r>
    </w:p>
    <w:p w14:paraId="6AEF5D2E" w14:textId="77777777" w:rsidR="00347E8D" w:rsidRPr="001A2A3D" w:rsidRDefault="00347E8D" w:rsidP="00347E8D">
      <w:pPr>
        <w:keepNext/>
        <w:autoSpaceDE w:val="0"/>
        <w:autoSpaceDN w:val="0"/>
        <w:spacing w:after="0" w:line="240" w:lineRule="auto"/>
        <w:ind w:left="284" w:right="283"/>
        <w:jc w:val="center"/>
        <w:outlineLvl w:val="2"/>
        <w:rPr>
          <w:rFonts w:ascii="Times New Roman" w:eastAsia="Times New Roman" w:hAnsi="Times New Roman" w:cs="Times New Roman"/>
          <w:b/>
          <w:color w:val="000000"/>
          <w:lang w:eastAsia="ru-RU"/>
        </w:rPr>
      </w:pPr>
    </w:p>
    <w:p w14:paraId="20EAA6D1" w14:textId="77777777" w:rsidR="00347E8D" w:rsidRPr="001A2A3D" w:rsidRDefault="00347E8D" w:rsidP="00347E8D">
      <w:pPr>
        <w:keepNext/>
        <w:tabs>
          <w:tab w:val="left" w:pos="8789"/>
        </w:tabs>
        <w:autoSpaceDE w:val="0"/>
        <w:autoSpaceDN w:val="0"/>
        <w:spacing w:after="120" w:line="240" w:lineRule="auto"/>
        <w:ind w:right="284"/>
        <w:jc w:val="center"/>
        <w:outlineLvl w:val="2"/>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Раздел 1 Бюджет проекта</w:t>
      </w:r>
    </w:p>
    <w:p w14:paraId="650E720C" w14:textId="77777777" w:rsidR="00347E8D" w:rsidRPr="001A2A3D" w:rsidRDefault="00347E8D" w:rsidP="00347E8D">
      <w:pPr>
        <w:keepNext/>
        <w:tabs>
          <w:tab w:val="left" w:pos="8789"/>
        </w:tabs>
        <w:autoSpaceDE w:val="0"/>
        <w:autoSpaceDN w:val="0"/>
        <w:spacing w:after="0" w:line="240" w:lineRule="auto"/>
        <w:ind w:right="283"/>
        <w:jc w:val="right"/>
        <w:outlineLvl w:val="2"/>
        <w:rPr>
          <w:rFonts w:ascii="Times New Roman" w:eastAsia="Times New Roman" w:hAnsi="Times New Roman" w:cs="Times New Roman"/>
          <w:color w:val="000000"/>
          <w:sz w:val="24"/>
          <w:szCs w:val="24"/>
          <w:lang w:eastAsia="ru-RU"/>
        </w:rPr>
      </w:pPr>
      <w:r w:rsidRPr="00EF72FF">
        <w:rPr>
          <w:rFonts w:ascii="Times New Roman" w:eastAsia="Times New Roman" w:hAnsi="Times New Roman" w:cs="Times New Roman"/>
          <w:color w:val="000000"/>
          <w:sz w:val="24"/>
          <w:szCs w:val="24"/>
          <w:lang w:eastAsia="ru-RU"/>
        </w:rPr>
        <w:t>тыс. руб.</w:t>
      </w:r>
    </w:p>
    <w:tbl>
      <w:tblPr>
        <w:tblpPr w:leftFromText="180" w:rightFromText="180" w:vertAnchor="text" w:tblpXSpec="center" w:tblpY="1"/>
        <w:tblOverlap w:val="never"/>
        <w:tblW w:w="5111" w:type="pct"/>
        <w:jc w:val="center"/>
        <w:tblLook w:val="04A0" w:firstRow="1" w:lastRow="0" w:firstColumn="1" w:lastColumn="0" w:noHBand="0" w:noVBand="1"/>
      </w:tblPr>
      <w:tblGrid>
        <w:gridCol w:w="417"/>
        <w:gridCol w:w="2270"/>
        <w:gridCol w:w="1057"/>
        <w:gridCol w:w="1491"/>
        <w:gridCol w:w="1057"/>
        <w:gridCol w:w="1355"/>
        <w:gridCol w:w="1057"/>
        <w:gridCol w:w="1355"/>
        <w:gridCol w:w="1057"/>
        <w:gridCol w:w="1355"/>
        <w:gridCol w:w="1057"/>
        <w:gridCol w:w="1355"/>
      </w:tblGrid>
      <w:tr w:rsidR="00C72757" w:rsidRPr="00C72757" w14:paraId="5BDC0C98" w14:textId="77777777" w:rsidTr="00D15A81">
        <w:trPr>
          <w:trHeight w:val="990"/>
          <w:jc w:val="center"/>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3A1331"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FF4107" w14:textId="7512D76C" w:rsidR="00347E8D" w:rsidRPr="006E2342" w:rsidRDefault="00347E8D" w:rsidP="006E2342">
            <w:pPr>
              <w:spacing w:after="0" w:line="240" w:lineRule="auto"/>
              <w:jc w:val="center"/>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 xml:space="preserve">Направления целевого использования средств </w:t>
            </w:r>
          </w:p>
        </w:tc>
        <w:tc>
          <w:tcPr>
            <w:tcW w:w="856" w:type="pct"/>
            <w:gridSpan w:val="2"/>
            <w:tcBorders>
              <w:top w:val="single" w:sz="4" w:space="0" w:color="auto"/>
              <w:left w:val="nil"/>
              <w:bottom w:val="single" w:sz="4" w:space="0" w:color="auto"/>
              <w:right w:val="single" w:sz="4" w:space="0" w:color="auto"/>
            </w:tcBorders>
            <w:shd w:val="clear" w:color="auto" w:fill="auto"/>
            <w:hideMark/>
          </w:tcPr>
          <w:p w14:paraId="576E77B1"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Зарплата сотрудников, включая взносы от ФОТ</w:t>
            </w:r>
          </w:p>
          <w:p w14:paraId="43F2AC73"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(1)</w:t>
            </w:r>
          </w:p>
        </w:tc>
        <w:tc>
          <w:tcPr>
            <w:tcW w:w="810" w:type="pct"/>
            <w:gridSpan w:val="2"/>
            <w:tcBorders>
              <w:top w:val="single" w:sz="4" w:space="0" w:color="auto"/>
              <w:left w:val="nil"/>
              <w:bottom w:val="single" w:sz="4" w:space="0" w:color="auto"/>
              <w:right w:val="single" w:sz="4" w:space="0" w:color="auto"/>
            </w:tcBorders>
            <w:shd w:val="clear" w:color="auto" w:fill="auto"/>
            <w:hideMark/>
          </w:tcPr>
          <w:p w14:paraId="4FCE87E0"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Работы и услуги, выполняемые третьими лицами, приобретение прав (2)</w:t>
            </w:r>
          </w:p>
        </w:tc>
        <w:tc>
          <w:tcPr>
            <w:tcW w:w="81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13F7CE2"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Материалы и комплектующие</w:t>
            </w:r>
          </w:p>
          <w:p w14:paraId="3BA6C225"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(3)</w:t>
            </w:r>
          </w:p>
        </w:tc>
        <w:tc>
          <w:tcPr>
            <w:tcW w:w="810" w:type="pct"/>
            <w:gridSpan w:val="2"/>
            <w:tcBorders>
              <w:top w:val="single" w:sz="4" w:space="0" w:color="auto"/>
              <w:left w:val="nil"/>
              <w:bottom w:val="single" w:sz="4" w:space="0" w:color="auto"/>
              <w:right w:val="single" w:sz="4" w:space="0" w:color="auto"/>
            </w:tcBorders>
            <w:shd w:val="clear" w:color="auto" w:fill="auto"/>
            <w:hideMark/>
          </w:tcPr>
          <w:p w14:paraId="0772C955"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Приобретение оборудования/зданий/ сооружений</w:t>
            </w:r>
          </w:p>
          <w:p w14:paraId="59A264B8"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(4)</w:t>
            </w:r>
          </w:p>
        </w:tc>
        <w:tc>
          <w:tcPr>
            <w:tcW w:w="810" w:type="pct"/>
            <w:gridSpan w:val="2"/>
            <w:tcBorders>
              <w:top w:val="single" w:sz="4" w:space="0" w:color="auto"/>
              <w:left w:val="nil"/>
              <w:bottom w:val="single" w:sz="4" w:space="0" w:color="auto"/>
              <w:right w:val="single" w:sz="4" w:space="0" w:color="auto"/>
            </w:tcBorders>
            <w:shd w:val="clear" w:color="auto" w:fill="auto"/>
            <w:hideMark/>
          </w:tcPr>
          <w:p w14:paraId="45FED271"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Итого</w:t>
            </w:r>
          </w:p>
        </w:tc>
      </w:tr>
      <w:tr w:rsidR="00C72757" w:rsidRPr="00C72757" w14:paraId="2D228089" w14:textId="77777777" w:rsidTr="00D15A81">
        <w:trPr>
          <w:trHeight w:val="408"/>
          <w:jc w:val="center"/>
        </w:trPr>
        <w:tc>
          <w:tcPr>
            <w:tcW w:w="140" w:type="pct"/>
            <w:vMerge/>
            <w:tcBorders>
              <w:top w:val="single" w:sz="4" w:space="0" w:color="auto"/>
              <w:left w:val="single" w:sz="4" w:space="0" w:color="auto"/>
              <w:bottom w:val="single" w:sz="4" w:space="0" w:color="auto"/>
              <w:right w:val="single" w:sz="4" w:space="0" w:color="auto"/>
            </w:tcBorders>
            <w:vAlign w:val="center"/>
            <w:hideMark/>
          </w:tcPr>
          <w:p w14:paraId="23DC115E"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14:paraId="4C92F713" w14:textId="77777777" w:rsidR="00347E8D" w:rsidRPr="006E2342"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hideMark/>
          </w:tcPr>
          <w:p w14:paraId="3D1D6905"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Средства займа</w:t>
            </w:r>
          </w:p>
        </w:tc>
        <w:tc>
          <w:tcPr>
            <w:tcW w:w="501" w:type="pct"/>
            <w:tcBorders>
              <w:top w:val="nil"/>
              <w:left w:val="nil"/>
              <w:bottom w:val="single" w:sz="4" w:space="0" w:color="auto"/>
              <w:right w:val="single" w:sz="4" w:space="0" w:color="auto"/>
            </w:tcBorders>
            <w:shd w:val="clear" w:color="auto" w:fill="auto"/>
            <w:hideMark/>
          </w:tcPr>
          <w:p w14:paraId="2C52CBD8"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 xml:space="preserve">Средства </w:t>
            </w:r>
            <w:proofErr w:type="spellStart"/>
            <w:r w:rsidRPr="00C72757">
              <w:rPr>
                <w:rFonts w:ascii="Times New Roman" w:hAnsi="Times New Roman" w:cs="Times New Roman"/>
                <w:b/>
                <w:bCs/>
                <w:color w:val="000000" w:themeColor="text1"/>
                <w:sz w:val="20"/>
                <w:szCs w:val="20"/>
              </w:rPr>
              <w:t>софинансир</w:t>
            </w:r>
            <w:proofErr w:type="spellEnd"/>
            <w:r w:rsidRPr="00C72757">
              <w:rPr>
                <w:rFonts w:ascii="Times New Roman" w:hAnsi="Times New Roman" w:cs="Times New Roman"/>
                <w:b/>
                <w:bCs/>
                <w:color w:val="000000" w:themeColor="text1"/>
                <w:sz w:val="20"/>
                <w:szCs w:val="20"/>
              </w:rPr>
              <w:t>.</w:t>
            </w:r>
          </w:p>
        </w:tc>
        <w:tc>
          <w:tcPr>
            <w:tcW w:w="355" w:type="pct"/>
            <w:tcBorders>
              <w:top w:val="nil"/>
              <w:left w:val="nil"/>
              <w:bottom w:val="single" w:sz="4" w:space="0" w:color="auto"/>
              <w:right w:val="single" w:sz="4" w:space="0" w:color="auto"/>
            </w:tcBorders>
            <w:shd w:val="clear" w:color="auto" w:fill="auto"/>
            <w:hideMark/>
          </w:tcPr>
          <w:p w14:paraId="7F62EDF0"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Средства займа</w:t>
            </w:r>
          </w:p>
        </w:tc>
        <w:tc>
          <w:tcPr>
            <w:tcW w:w="455" w:type="pct"/>
            <w:tcBorders>
              <w:top w:val="nil"/>
              <w:left w:val="nil"/>
              <w:bottom w:val="single" w:sz="4" w:space="0" w:color="auto"/>
              <w:right w:val="single" w:sz="4" w:space="0" w:color="auto"/>
            </w:tcBorders>
            <w:shd w:val="clear" w:color="auto" w:fill="auto"/>
            <w:hideMark/>
          </w:tcPr>
          <w:p w14:paraId="114F138A"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 xml:space="preserve">Средства </w:t>
            </w:r>
            <w:proofErr w:type="spellStart"/>
            <w:r w:rsidRPr="00C72757">
              <w:rPr>
                <w:rFonts w:ascii="Times New Roman" w:hAnsi="Times New Roman" w:cs="Times New Roman"/>
                <w:b/>
                <w:bCs/>
                <w:color w:val="000000" w:themeColor="text1"/>
                <w:sz w:val="20"/>
                <w:szCs w:val="20"/>
              </w:rPr>
              <w:t>софинансир</w:t>
            </w:r>
            <w:proofErr w:type="spellEnd"/>
            <w:r w:rsidRPr="00C72757">
              <w:rPr>
                <w:rFonts w:ascii="Times New Roman" w:hAnsi="Times New Roman" w:cs="Times New Roman"/>
                <w:b/>
                <w:bCs/>
                <w:color w:val="000000" w:themeColor="text1"/>
                <w:sz w:val="20"/>
                <w:szCs w:val="20"/>
              </w:rPr>
              <w:t>.</w:t>
            </w:r>
          </w:p>
        </w:tc>
        <w:tc>
          <w:tcPr>
            <w:tcW w:w="355" w:type="pct"/>
            <w:tcBorders>
              <w:top w:val="nil"/>
              <w:left w:val="nil"/>
              <w:bottom w:val="single" w:sz="4" w:space="0" w:color="auto"/>
              <w:right w:val="single" w:sz="4" w:space="0" w:color="auto"/>
            </w:tcBorders>
            <w:shd w:val="clear" w:color="auto" w:fill="auto"/>
            <w:hideMark/>
          </w:tcPr>
          <w:p w14:paraId="21AD58A5"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Средства займа</w:t>
            </w:r>
          </w:p>
        </w:tc>
        <w:tc>
          <w:tcPr>
            <w:tcW w:w="455" w:type="pct"/>
            <w:tcBorders>
              <w:top w:val="nil"/>
              <w:left w:val="nil"/>
              <w:bottom w:val="single" w:sz="4" w:space="0" w:color="auto"/>
              <w:right w:val="single" w:sz="4" w:space="0" w:color="auto"/>
            </w:tcBorders>
            <w:shd w:val="clear" w:color="auto" w:fill="auto"/>
            <w:hideMark/>
          </w:tcPr>
          <w:p w14:paraId="122E7EAC"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 xml:space="preserve">Средства </w:t>
            </w:r>
            <w:proofErr w:type="spellStart"/>
            <w:r w:rsidRPr="00C72757">
              <w:rPr>
                <w:rFonts w:ascii="Times New Roman" w:hAnsi="Times New Roman" w:cs="Times New Roman"/>
                <w:b/>
                <w:bCs/>
                <w:color w:val="000000" w:themeColor="text1"/>
                <w:sz w:val="20"/>
                <w:szCs w:val="20"/>
              </w:rPr>
              <w:t>софинансир</w:t>
            </w:r>
            <w:proofErr w:type="spellEnd"/>
            <w:r w:rsidRPr="00C72757">
              <w:rPr>
                <w:rFonts w:ascii="Times New Roman" w:hAnsi="Times New Roman" w:cs="Times New Roman"/>
                <w:b/>
                <w:bCs/>
                <w:color w:val="000000" w:themeColor="text1"/>
                <w:sz w:val="20"/>
                <w:szCs w:val="20"/>
              </w:rPr>
              <w:t>.</w:t>
            </w:r>
          </w:p>
        </w:tc>
        <w:tc>
          <w:tcPr>
            <w:tcW w:w="355" w:type="pct"/>
            <w:tcBorders>
              <w:top w:val="nil"/>
              <w:left w:val="nil"/>
              <w:bottom w:val="single" w:sz="4" w:space="0" w:color="auto"/>
              <w:right w:val="single" w:sz="4" w:space="0" w:color="auto"/>
            </w:tcBorders>
            <w:shd w:val="clear" w:color="auto" w:fill="auto"/>
            <w:hideMark/>
          </w:tcPr>
          <w:p w14:paraId="1CBE3FF6"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Средства займа</w:t>
            </w:r>
          </w:p>
        </w:tc>
        <w:tc>
          <w:tcPr>
            <w:tcW w:w="455" w:type="pct"/>
            <w:tcBorders>
              <w:top w:val="nil"/>
              <w:left w:val="nil"/>
              <w:bottom w:val="single" w:sz="4" w:space="0" w:color="auto"/>
              <w:right w:val="single" w:sz="4" w:space="0" w:color="auto"/>
            </w:tcBorders>
            <w:shd w:val="clear" w:color="auto" w:fill="auto"/>
            <w:hideMark/>
          </w:tcPr>
          <w:p w14:paraId="49A8920A"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 xml:space="preserve">Средства </w:t>
            </w:r>
            <w:proofErr w:type="spellStart"/>
            <w:r w:rsidRPr="00C72757">
              <w:rPr>
                <w:rFonts w:ascii="Times New Roman" w:hAnsi="Times New Roman" w:cs="Times New Roman"/>
                <w:b/>
                <w:bCs/>
                <w:color w:val="000000" w:themeColor="text1"/>
                <w:sz w:val="20"/>
                <w:szCs w:val="20"/>
              </w:rPr>
              <w:t>софинансир</w:t>
            </w:r>
            <w:proofErr w:type="spellEnd"/>
            <w:r w:rsidRPr="00C72757">
              <w:rPr>
                <w:rFonts w:ascii="Times New Roman" w:hAnsi="Times New Roman" w:cs="Times New Roman"/>
                <w:b/>
                <w:bCs/>
                <w:color w:val="000000" w:themeColor="text1"/>
                <w:sz w:val="20"/>
                <w:szCs w:val="20"/>
              </w:rPr>
              <w:t>.</w:t>
            </w:r>
          </w:p>
        </w:tc>
        <w:tc>
          <w:tcPr>
            <w:tcW w:w="355" w:type="pct"/>
            <w:tcBorders>
              <w:top w:val="nil"/>
              <w:left w:val="nil"/>
              <w:bottom w:val="single" w:sz="4" w:space="0" w:color="auto"/>
              <w:right w:val="single" w:sz="4" w:space="0" w:color="auto"/>
            </w:tcBorders>
            <w:shd w:val="clear" w:color="auto" w:fill="auto"/>
            <w:hideMark/>
          </w:tcPr>
          <w:p w14:paraId="62F76305"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Средства займа</w:t>
            </w:r>
          </w:p>
        </w:tc>
        <w:tc>
          <w:tcPr>
            <w:tcW w:w="455" w:type="pct"/>
            <w:tcBorders>
              <w:top w:val="nil"/>
              <w:left w:val="nil"/>
              <w:bottom w:val="single" w:sz="4" w:space="0" w:color="auto"/>
              <w:right w:val="single" w:sz="4" w:space="0" w:color="auto"/>
            </w:tcBorders>
            <w:shd w:val="clear" w:color="auto" w:fill="auto"/>
            <w:hideMark/>
          </w:tcPr>
          <w:p w14:paraId="479EAB68"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 xml:space="preserve">Средства </w:t>
            </w:r>
            <w:proofErr w:type="spellStart"/>
            <w:r w:rsidRPr="00C72757">
              <w:rPr>
                <w:rFonts w:ascii="Times New Roman" w:hAnsi="Times New Roman" w:cs="Times New Roman"/>
                <w:b/>
                <w:bCs/>
                <w:color w:val="000000" w:themeColor="text1"/>
                <w:sz w:val="20"/>
                <w:szCs w:val="20"/>
              </w:rPr>
              <w:t>софинансир</w:t>
            </w:r>
            <w:proofErr w:type="spellEnd"/>
            <w:r w:rsidRPr="00C72757">
              <w:rPr>
                <w:rFonts w:ascii="Times New Roman" w:hAnsi="Times New Roman" w:cs="Times New Roman"/>
                <w:b/>
                <w:bCs/>
                <w:color w:val="000000" w:themeColor="text1"/>
                <w:sz w:val="20"/>
                <w:szCs w:val="20"/>
              </w:rPr>
              <w:t>.</w:t>
            </w:r>
          </w:p>
        </w:tc>
      </w:tr>
      <w:tr w:rsidR="00C72757" w:rsidRPr="00C72757" w14:paraId="66A925F6" w14:textId="77777777" w:rsidTr="00D15A81">
        <w:trPr>
          <w:trHeight w:val="967"/>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FA9D3C0"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1.</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12D2745" w14:textId="77777777" w:rsidR="00347E8D" w:rsidRPr="006E2342" w:rsidRDefault="00347E8D" w:rsidP="006A57C1">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Научные и иные исследования в интересах проекта, включая аналитические исследования рынка</w:t>
            </w:r>
          </w:p>
        </w:tc>
        <w:tc>
          <w:tcPr>
            <w:tcW w:w="355" w:type="pct"/>
            <w:tcBorders>
              <w:top w:val="nil"/>
              <w:left w:val="nil"/>
              <w:bottom w:val="single" w:sz="4" w:space="0" w:color="auto"/>
              <w:right w:val="single" w:sz="4" w:space="0" w:color="auto"/>
            </w:tcBorders>
            <w:shd w:val="clear" w:color="auto" w:fill="auto"/>
            <w:noWrap/>
            <w:vAlign w:val="center"/>
          </w:tcPr>
          <w:p w14:paraId="4C485696"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nil"/>
              <w:left w:val="nil"/>
              <w:bottom w:val="single" w:sz="4" w:space="0" w:color="auto"/>
              <w:right w:val="single" w:sz="4" w:space="0" w:color="auto"/>
            </w:tcBorders>
            <w:shd w:val="clear" w:color="auto" w:fill="auto"/>
            <w:noWrap/>
            <w:vAlign w:val="center"/>
          </w:tcPr>
          <w:p w14:paraId="0E2E8E23" w14:textId="152ED09C"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2B0F9FCB"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117208BD" w14:textId="40059EFA"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5EC5F3E7"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6B2ADC6D" w14:textId="32B0C06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65736EF"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3AE35A0C" w14:textId="41D1F241"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3F02556D" w14:textId="41EA0149"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579412FC" w14:textId="36F075F5"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C72757" w:rsidRPr="00C72757" w14:paraId="4DD62DBA" w14:textId="77777777" w:rsidTr="00D15A81">
        <w:trPr>
          <w:trHeight w:val="500"/>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2223519"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755BB4AE" w14:textId="77777777" w:rsidR="00347E8D" w:rsidRPr="006E2342" w:rsidRDefault="00347E8D" w:rsidP="006A57C1">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Разработка и внедрение технологии:</w:t>
            </w:r>
          </w:p>
        </w:tc>
        <w:tc>
          <w:tcPr>
            <w:tcW w:w="355" w:type="pct"/>
            <w:tcBorders>
              <w:top w:val="nil"/>
              <w:left w:val="nil"/>
              <w:bottom w:val="single" w:sz="4" w:space="0" w:color="auto"/>
              <w:right w:val="single" w:sz="4" w:space="0" w:color="auto"/>
            </w:tcBorders>
            <w:shd w:val="clear" w:color="auto" w:fill="auto"/>
            <w:noWrap/>
            <w:vAlign w:val="center"/>
          </w:tcPr>
          <w:p w14:paraId="5A2F64AF" w14:textId="41C760F9"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center"/>
          </w:tcPr>
          <w:p w14:paraId="67366683" w14:textId="79EADA58"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2D07A0BC" w14:textId="4F653D3B"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18AE0A6A" w14:textId="494DF964"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7D24E3C" w14:textId="5ADF730F"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0A1049D0" w14:textId="31C7D913"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2DEC6743" w14:textId="06ACE488"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61423FBE" w14:textId="1B5E2B39"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45944406" w14:textId="693E7011"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64027883" w14:textId="29EFA29F"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C72757" w:rsidRPr="00C72757" w14:paraId="4A025FA2" w14:textId="77777777" w:rsidTr="00D15A81">
        <w:trPr>
          <w:trHeight w:val="834"/>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CA5273E"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r w:rsidRPr="00C72757">
              <w:rPr>
                <w:rFonts w:ascii="Times New Roman" w:hAnsi="Times New Roman" w:cs="Times New Roman"/>
                <w:color w:val="000000" w:themeColor="text1"/>
                <w:sz w:val="20"/>
                <w:szCs w:val="20"/>
              </w:rPr>
              <w:t>2.1.</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6DF33DD" w14:textId="77777777" w:rsidR="00347E8D" w:rsidRPr="006E2342" w:rsidRDefault="00347E8D" w:rsidP="006A57C1">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color w:val="000000" w:themeColor="text1"/>
                <w:sz w:val="20"/>
                <w:szCs w:val="20"/>
              </w:rPr>
              <w:t>Проведение опытно-технологических работ (ОТР) и опытно-конструкторских работ (ОКР)</w:t>
            </w:r>
          </w:p>
        </w:tc>
        <w:tc>
          <w:tcPr>
            <w:tcW w:w="355" w:type="pct"/>
            <w:tcBorders>
              <w:top w:val="nil"/>
              <w:left w:val="nil"/>
              <w:bottom w:val="single" w:sz="4" w:space="0" w:color="auto"/>
              <w:right w:val="single" w:sz="4" w:space="0" w:color="auto"/>
            </w:tcBorders>
            <w:shd w:val="clear" w:color="auto" w:fill="auto"/>
            <w:noWrap/>
            <w:vAlign w:val="center"/>
          </w:tcPr>
          <w:p w14:paraId="4BD583EB"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center"/>
          </w:tcPr>
          <w:p w14:paraId="5932B805"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9CA7601"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371DC434"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BFCCF71" w14:textId="05016AAE" w:rsidR="00347E8D" w:rsidRPr="00FC1BA8" w:rsidRDefault="00347E8D" w:rsidP="006A57C1">
            <w:pPr>
              <w:spacing w:after="0" w:line="240" w:lineRule="auto"/>
              <w:jc w:val="center"/>
              <w:rPr>
                <w:rFonts w:ascii="Times New Roman" w:hAnsi="Times New Roman" w:cs="Times New Roman"/>
                <w:b/>
                <w:color w:val="000000" w:themeColor="text1"/>
                <w:sz w:val="20"/>
                <w:szCs w:val="20"/>
                <w:highlight w:val="yellow"/>
              </w:rPr>
            </w:pPr>
          </w:p>
        </w:tc>
        <w:tc>
          <w:tcPr>
            <w:tcW w:w="455" w:type="pct"/>
            <w:tcBorders>
              <w:top w:val="nil"/>
              <w:left w:val="nil"/>
              <w:bottom w:val="single" w:sz="4" w:space="0" w:color="auto"/>
              <w:right w:val="single" w:sz="4" w:space="0" w:color="auto"/>
            </w:tcBorders>
            <w:shd w:val="clear" w:color="auto" w:fill="auto"/>
            <w:noWrap/>
            <w:vAlign w:val="center"/>
          </w:tcPr>
          <w:p w14:paraId="7CAEDFA3" w14:textId="05FE39F0" w:rsidR="00347E8D" w:rsidRPr="00FC1BA8" w:rsidRDefault="00347E8D" w:rsidP="006A57C1">
            <w:pPr>
              <w:spacing w:after="0" w:line="240" w:lineRule="auto"/>
              <w:jc w:val="center"/>
              <w:rPr>
                <w:rFonts w:ascii="Times New Roman" w:hAnsi="Times New Roman" w:cs="Times New Roman"/>
                <w:b/>
                <w:color w:val="000000" w:themeColor="text1"/>
                <w:sz w:val="20"/>
                <w:szCs w:val="20"/>
                <w:highlight w:val="yellow"/>
              </w:rPr>
            </w:pPr>
          </w:p>
        </w:tc>
        <w:tc>
          <w:tcPr>
            <w:tcW w:w="355" w:type="pct"/>
            <w:tcBorders>
              <w:top w:val="nil"/>
              <w:left w:val="nil"/>
              <w:bottom w:val="single" w:sz="4" w:space="0" w:color="auto"/>
              <w:right w:val="single" w:sz="4" w:space="0" w:color="auto"/>
            </w:tcBorders>
            <w:shd w:val="clear" w:color="auto" w:fill="auto"/>
            <w:noWrap/>
            <w:vAlign w:val="center"/>
          </w:tcPr>
          <w:p w14:paraId="5BC67C41" w14:textId="7605F818" w:rsidR="00347E8D" w:rsidRPr="00DA64A9" w:rsidRDefault="00DA64A9" w:rsidP="006A57C1">
            <w:pPr>
              <w:spacing w:after="0" w:line="240" w:lineRule="auto"/>
              <w:jc w:val="center"/>
              <w:rPr>
                <w:rFonts w:ascii="Times New Roman" w:hAnsi="Times New Roman" w:cs="Times New Roman"/>
                <w:b/>
                <w:color w:val="000000" w:themeColor="text1"/>
                <w:sz w:val="20"/>
                <w:szCs w:val="20"/>
              </w:rPr>
            </w:pPr>
            <w:r w:rsidRPr="00DA64A9">
              <w:rPr>
                <w:rFonts w:ascii="Times New Roman" w:hAnsi="Times New Roman" w:cs="Times New Roman"/>
                <w:b/>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6899B62F" w14:textId="5E0BB411" w:rsidR="00347E8D" w:rsidRPr="00DA64A9" w:rsidRDefault="00DA64A9" w:rsidP="006A57C1">
            <w:pPr>
              <w:spacing w:after="0" w:line="240" w:lineRule="auto"/>
              <w:jc w:val="center"/>
              <w:rPr>
                <w:rFonts w:ascii="Times New Roman" w:hAnsi="Times New Roman" w:cs="Times New Roman"/>
                <w:b/>
                <w:color w:val="000000" w:themeColor="text1"/>
                <w:sz w:val="20"/>
                <w:szCs w:val="20"/>
              </w:rPr>
            </w:pPr>
            <w:r w:rsidRPr="00DA64A9">
              <w:rPr>
                <w:rFonts w:ascii="Times New Roman" w:hAnsi="Times New Roman" w:cs="Times New Roman"/>
                <w:b/>
                <w:color w:val="000000" w:themeColor="text1"/>
                <w:sz w:val="20"/>
                <w:szCs w:val="20"/>
              </w:rPr>
              <w:t>Х</w:t>
            </w:r>
          </w:p>
        </w:tc>
        <w:tc>
          <w:tcPr>
            <w:tcW w:w="355" w:type="pct"/>
            <w:tcBorders>
              <w:top w:val="nil"/>
              <w:left w:val="nil"/>
              <w:bottom w:val="single" w:sz="4" w:space="0" w:color="auto"/>
              <w:right w:val="single" w:sz="4" w:space="0" w:color="auto"/>
            </w:tcBorders>
            <w:shd w:val="clear" w:color="auto" w:fill="auto"/>
            <w:noWrap/>
            <w:vAlign w:val="center"/>
          </w:tcPr>
          <w:p w14:paraId="6BEF0A7B" w14:textId="0244F174"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4C71EF9E" w14:textId="0207DA0E"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C72757" w:rsidRPr="00C72757" w14:paraId="07DBAC7C" w14:textId="77777777" w:rsidTr="00D15A81">
        <w:trPr>
          <w:trHeight w:val="747"/>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581B9E85"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r w:rsidRPr="00C72757">
              <w:rPr>
                <w:rFonts w:ascii="Times New Roman" w:hAnsi="Times New Roman" w:cs="Times New Roman"/>
                <w:color w:val="000000" w:themeColor="text1"/>
                <w:sz w:val="20"/>
                <w:szCs w:val="20"/>
              </w:rPr>
              <w:t>2.2.</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69D37E6" w14:textId="77777777" w:rsidR="00347E8D" w:rsidRPr="006E2342" w:rsidRDefault="00347E8D" w:rsidP="006A57C1">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color w:val="000000" w:themeColor="text1"/>
                <w:sz w:val="20"/>
                <w:szCs w:val="20"/>
              </w:rPr>
              <w:t>Технические, производственно-технологические, маркетинговые тестирования и испытания</w:t>
            </w:r>
          </w:p>
        </w:tc>
        <w:tc>
          <w:tcPr>
            <w:tcW w:w="355" w:type="pct"/>
            <w:tcBorders>
              <w:top w:val="nil"/>
              <w:left w:val="nil"/>
              <w:bottom w:val="single" w:sz="4" w:space="0" w:color="auto"/>
              <w:right w:val="single" w:sz="4" w:space="0" w:color="auto"/>
            </w:tcBorders>
            <w:shd w:val="clear" w:color="auto" w:fill="auto"/>
            <w:noWrap/>
            <w:vAlign w:val="center"/>
            <w:hideMark/>
          </w:tcPr>
          <w:p w14:paraId="48763564"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nil"/>
              <w:left w:val="nil"/>
              <w:bottom w:val="single" w:sz="4" w:space="0" w:color="auto"/>
              <w:right w:val="single" w:sz="4" w:space="0" w:color="auto"/>
            </w:tcBorders>
            <w:shd w:val="clear" w:color="auto" w:fill="auto"/>
            <w:noWrap/>
            <w:vAlign w:val="center"/>
            <w:hideMark/>
          </w:tcPr>
          <w:p w14:paraId="79EB1810" w14:textId="18E005CE"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4B071CBE"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6AE67379" w14:textId="654B5F0A"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25E8C99E"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6E8B7229" w14:textId="22665B6C"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76A77ED6"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12B9BFF8" w14:textId="35F4FB0C" w:rsidR="00347E8D" w:rsidRPr="00C72757" w:rsidRDefault="0045524B" w:rsidP="006A57C1">
            <w:pPr>
              <w:spacing w:after="0" w:line="240" w:lineRule="auto"/>
              <w:jc w:val="center"/>
              <w:rPr>
                <w:rFonts w:ascii="Times New Roman" w:hAnsi="Times New Roman" w:cs="Times New Roman"/>
                <w:b/>
                <w:bCs/>
                <w:color w:val="000000" w:themeColor="text1"/>
                <w:sz w:val="20"/>
                <w:szCs w:val="20"/>
              </w:rPr>
            </w:pPr>
            <w:r w:rsidRPr="0045524B">
              <w:rPr>
                <w:rFonts w:ascii="Times New Roman" w:hAnsi="Times New Roman" w:cs="Times New Roman"/>
                <w:b/>
                <w:bCs/>
                <w:color w:val="000000" w:themeColor="text1"/>
                <w:sz w:val="20"/>
                <w:szCs w:val="20"/>
              </w:rPr>
              <w:t>Х</w:t>
            </w:r>
          </w:p>
        </w:tc>
        <w:tc>
          <w:tcPr>
            <w:tcW w:w="355" w:type="pct"/>
            <w:tcBorders>
              <w:top w:val="nil"/>
              <w:left w:val="nil"/>
              <w:bottom w:val="single" w:sz="4" w:space="0" w:color="auto"/>
              <w:right w:val="single" w:sz="4" w:space="0" w:color="auto"/>
            </w:tcBorders>
            <w:shd w:val="clear" w:color="auto" w:fill="auto"/>
            <w:noWrap/>
            <w:vAlign w:val="center"/>
          </w:tcPr>
          <w:p w14:paraId="7B065A0B" w14:textId="3B279DA2"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3DB946BE" w14:textId="494019B9"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C72757" w:rsidRPr="00C72757" w14:paraId="3F2D9BDD" w14:textId="77777777" w:rsidTr="00D15A81">
        <w:trPr>
          <w:trHeight w:val="699"/>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1174D323"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r w:rsidRPr="00C72757">
              <w:rPr>
                <w:rFonts w:ascii="Times New Roman" w:hAnsi="Times New Roman" w:cs="Times New Roman"/>
                <w:color w:val="000000" w:themeColor="text1"/>
                <w:sz w:val="20"/>
                <w:szCs w:val="20"/>
              </w:rPr>
              <w:t>2.3.</w:t>
            </w:r>
          </w:p>
        </w:tc>
        <w:tc>
          <w:tcPr>
            <w:tcW w:w="7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9D4A122" w14:textId="77777777" w:rsidR="00347E8D" w:rsidRPr="006E2342" w:rsidRDefault="00347E8D" w:rsidP="006A57C1">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color w:val="000000" w:themeColor="text1"/>
                <w:sz w:val="20"/>
                <w:szCs w:val="20"/>
              </w:rPr>
              <w:t xml:space="preserve">Проведение патентных исследований (на патентную чистоту, выявление </w:t>
            </w:r>
            <w:proofErr w:type="spellStart"/>
            <w:r w:rsidRPr="006E2342">
              <w:rPr>
                <w:rFonts w:ascii="Times New Roman" w:hAnsi="Times New Roman" w:cs="Times New Roman"/>
                <w:color w:val="000000" w:themeColor="text1"/>
                <w:sz w:val="20"/>
                <w:szCs w:val="20"/>
              </w:rPr>
              <w:t>охраноспособных</w:t>
            </w:r>
            <w:proofErr w:type="spellEnd"/>
            <w:r w:rsidRPr="006E2342">
              <w:rPr>
                <w:rFonts w:ascii="Times New Roman" w:hAnsi="Times New Roman" w:cs="Times New Roman"/>
                <w:color w:val="000000" w:themeColor="text1"/>
                <w:sz w:val="20"/>
                <w:szCs w:val="20"/>
              </w:rPr>
              <w:t xml:space="preserve"> решений и прочее), патентование разработанных решений</w:t>
            </w:r>
          </w:p>
        </w:tc>
        <w:tc>
          <w:tcPr>
            <w:tcW w:w="355" w:type="pct"/>
            <w:tcBorders>
              <w:top w:val="nil"/>
              <w:left w:val="nil"/>
              <w:bottom w:val="single" w:sz="4" w:space="0" w:color="auto"/>
              <w:right w:val="single" w:sz="4" w:space="0" w:color="auto"/>
            </w:tcBorders>
            <w:shd w:val="clear" w:color="auto" w:fill="auto"/>
            <w:noWrap/>
            <w:vAlign w:val="center"/>
            <w:hideMark/>
          </w:tcPr>
          <w:p w14:paraId="7D3670C3"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nil"/>
              <w:left w:val="nil"/>
              <w:bottom w:val="single" w:sz="4" w:space="0" w:color="auto"/>
              <w:right w:val="single" w:sz="4" w:space="0" w:color="auto"/>
            </w:tcBorders>
            <w:shd w:val="clear" w:color="auto" w:fill="auto"/>
            <w:noWrap/>
            <w:vAlign w:val="center"/>
            <w:hideMark/>
          </w:tcPr>
          <w:p w14:paraId="2C90D9C2" w14:textId="4AAD4F2A"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4BFEB720"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05C423B1" w14:textId="75C2CA3B"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5099E157"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3A66AE9B" w14:textId="4CD540AE"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10454EA6"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hideMark/>
          </w:tcPr>
          <w:p w14:paraId="4DE6DDB7" w14:textId="3C9EE629" w:rsidR="00347E8D" w:rsidRPr="00C72757" w:rsidRDefault="0045524B" w:rsidP="006A57C1">
            <w:pPr>
              <w:spacing w:after="0" w:line="240" w:lineRule="auto"/>
              <w:jc w:val="center"/>
              <w:rPr>
                <w:rFonts w:ascii="Times New Roman" w:hAnsi="Times New Roman" w:cs="Times New Roman"/>
                <w:b/>
                <w:bCs/>
                <w:color w:val="000000" w:themeColor="text1"/>
                <w:sz w:val="20"/>
                <w:szCs w:val="20"/>
              </w:rPr>
            </w:pPr>
            <w:r w:rsidRPr="0045524B">
              <w:rPr>
                <w:rFonts w:ascii="Times New Roman" w:hAnsi="Times New Roman" w:cs="Times New Roman"/>
                <w:b/>
                <w:bCs/>
                <w:color w:val="000000" w:themeColor="text1"/>
                <w:sz w:val="20"/>
                <w:szCs w:val="20"/>
              </w:rPr>
              <w:t>Х</w:t>
            </w:r>
          </w:p>
        </w:tc>
        <w:tc>
          <w:tcPr>
            <w:tcW w:w="355" w:type="pct"/>
            <w:tcBorders>
              <w:top w:val="nil"/>
              <w:left w:val="nil"/>
              <w:bottom w:val="single" w:sz="4" w:space="0" w:color="auto"/>
              <w:right w:val="single" w:sz="4" w:space="0" w:color="auto"/>
            </w:tcBorders>
            <w:shd w:val="clear" w:color="auto" w:fill="auto"/>
            <w:noWrap/>
            <w:vAlign w:val="center"/>
          </w:tcPr>
          <w:p w14:paraId="2CD4A427" w14:textId="4BC0DB7E"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74AA2A81" w14:textId="79D71801"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C72757" w:rsidRPr="00C72757" w14:paraId="6B9B3161" w14:textId="77777777" w:rsidTr="00D15A81">
        <w:trPr>
          <w:trHeight w:val="977"/>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53C130A5"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r w:rsidRPr="00C72757">
              <w:rPr>
                <w:rFonts w:ascii="Times New Roman" w:hAnsi="Times New Roman" w:cs="Times New Roman"/>
                <w:color w:val="000000" w:themeColor="text1"/>
                <w:sz w:val="20"/>
                <w:szCs w:val="20"/>
              </w:rPr>
              <w:t>2.4.</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5740F18" w14:textId="77777777" w:rsidR="00347E8D" w:rsidRPr="006E2342" w:rsidRDefault="00347E8D" w:rsidP="006A57C1">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color w:val="000000" w:themeColor="text1"/>
                <w:sz w:val="20"/>
                <w:szCs w:val="20"/>
              </w:rPr>
              <w:t>Контрольно-сертификационные мероприятия, необходимые для реализации проекта</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073EDCD"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3A76A265"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440DD1F"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776FE5B2" w14:textId="77777777" w:rsidR="00347E8D" w:rsidRPr="00C72757" w:rsidRDefault="00347E8D" w:rsidP="006A57C1">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ACBCC30" w14:textId="5F6078B4" w:rsidR="00347E8D" w:rsidRPr="00BB7E7A" w:rsidRDefault="00BB7E7A" w:rsidP="006A57C1">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1764FDEB" w14:textId="13036A09" w:rsidR="00347E8D" w:rsidRPr="00BB7E7A" w:rsidRDefault="00BB7E7A" w:rsidP="006A57C1">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86DE7DB" w14:textId="05078A2E" w:rsidR="00347E8D" w:rsidRPr="00BB7E7A" w:rsidRDefault="00BB7E7A" w:rsidP="006A57C1">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4B647AF9" w14:textId="0D4CAEF3" w:rsidR="00347E8D" w:rsidRPr="00BB7E7A" w:rsidRDefault="00BB7E7A" w:rsidP="006A57C1">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8CE880F"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6468CFA" w14:textId="77777777" w:rsidR="00347E8D" w:rsidRPr="00C72757" w:rsidRDefault="00347E8D" w:rsidP="006A57C1">
            <w:pPr>
              <w:spacing w:after="0" w:line="240" w:lineRule="auto"/>
              <w:jc w:val="center"/>
              <w:rPr>
                <w:rFonts w:ascii="Times New Roman" w:hAnsi="Times New Roman" w:cs="Times New Roman"/>
                <w:b/>
                <w:bCs/>
                <w:color w:val="000000" w:themeColor="text1"/>
                <w:sz w:val="20"/>
                <w:szCs w:val="20"/>
              </w:rPr>
            </w:pPr>
          </w:p>
        </w:tc>
      </w:tr>
      <w:tr w:rsidR="007534FF" w:rsidRPr="00C72757" w14:paraId="138A2268" w14:textId="77777777" w:rsidTr="00D15A81">
        <w:trPr>
          <w:trHeight w:val="792"/>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3BC238EB" w14:textId="7C859D8E" w:rsidR="007534FF" w:rsidRPr="00422D11" w:rsidRDefault="00422D11" w:rsidP="006A57C1">
            <w:pPr>
              <w:spacing w:after="0" w:line="240" w:lineRule="auto"/>
              <w:jc w:val="center"/>
              <w:rPr>
                <w:rFonts w:ascii="Times New Roman" w:hAnsi="Times New Roman" w:cs="Times New Roman"/>
                <w:b/>
                <w:color w:val="000000" w:themeColor="text1"/>
                <w:sz w:val="20"/>
                <w:szCs w:val="20"/>
              </w:rPr>
            </w:pPr>
            <w:r w:rsidRPr="00422D11">
              <w:rPr>
                <w:rFonts w:ascii="Times New Roman" w:hAnsi="Times New Roman" w:cs="Times New Roman"/>
                <w:b/>
                <w:color w:val="000000" w:themeColor="text1"/>
                <w:sz w:val="20"/>
                <w:szCs w:val="20"/>
              </w:rPr>
              <w:t>3.</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50E71C1" w14:textId="1CF0D8FD" w:rsidR="007534FF" w:rsidRPr="006E2342" w:rsidRDefault="007534FF" w:rsidP="00D32C5F">
            <w:pPr>
              <w:spacing w:after="0" w:line="240" w:lineRule="auto"/>
              <w:rPr>
                <w:rFonts w:ascii="Times New Roman" w:hAnsi="Times New Roman" w:cs="Times New Roman"/>
                <w:b/>
                <w:color w:val="000000" w:themeColor="text1"/>
                <w:sz w:val="20"/>
                <w:szCs w:val="20"/>
              </w:rPr>
            </w:pPr>
            <w:r w:rsidRPr="006E2342">
              <w:rPr>
                <w:rFonts w:ascii="Times New Roman" w:hAnsi="Times New Roman" w:cs="Times New Roman"/>
                <w:b/>
                <w:color w:val="000000" w:themeColor="text1"/>
                <w:sz w:val="20"/>
                <w:szCs w:val="20"/>
              </w:rPr>
              <w:t>Приобретение или использование специального оборудования для проведения необходимых ОКР и отработки технологии, включая создание опытно-промышленных установок</w:t>
            </w:r>
          </w:p>
        </w:tc>
        <w:tc>
          <w:tcPr>
            <w:tcW w:w="355" w:type="pct"/>
            <w:tcBorders>
              <w:top w:val="nil"/>
              <w:left w:val="nil"/>
              <w:bottom w:val="single" w:sz="4" w:space="0" w:color="auto"/>
              <w:right w:val="single" w:sz="4" w:space="0" w:color="auto"/>
            </w:tcBorders>
            <w:shd w:val="clear" w:color="auto" w:fill="auto"/>
            <w:noWrap/>
            <w:vAlign w:val="center"/>
          </w:tcPr>
          <w:p w14:paraId="362EBF8C" w14:textId="5EC11469"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center"/>
          </w:tcPr>
          <w:p w14:paraId="3A772DCF" w14:textId="2C1F27CE"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92530C6" w14:textId="3038EA52"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72CCD5D9" w14:textId="4246E673"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3734CF55" w14:textId="12820E07"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hideMark/>
          </w:tcPr>
          <w:p w14:paraId="0002C022" w14:textId="350390BC"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4917A13" w14:textId="2260EBE6"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5C04D456" w14:textId="7B46A9B9"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4052E013" w14:textId="6E8223F1"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466B0ACD" w14:textId="40B157CD"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r>
      <w:tr w:rsidR="003934AA" w:rsidRPr="00C72757" w14:paraId="2BD1BC07" w14:textId="77777777" w:rsidTr="00800672">
        <w:trPr>
          <w:trHeight w:val="792"/>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tcPr>
          <w:p w14:paraId="0C1B0822" w14:textId="16BFBC47" w:rsidR="003934AA" w:rsidRPr="00422D11" w:rsidRDefault="00422D11" w:rsidP="003934AA">
            <w:pPr>
              <w:spacing w:after="0" w:line="240" w:lineRule="auto"/>
              <w:jc w:val="center"/>
              <w:rPr>
                <w:rFonts w:ascii="Times New Roman" w:hAnsi="Times New Roman" w:cs="Times New Roman"/>
                <w:b/>
                <w:color w:val="000000" w:themeColor="text1"/>
                <w:sz w:val="20"/>
                <w:szCs w:val="20"/>
              </w:rPr>
            </w:pPr>
            <w:r w:rsidRPr="00422D11">
              <w:rPr>
                <w:rFonts w:ascii="Times New Roman" w:hAnsi="Times New Roman" w:cs="Times New Roman"/>
                <w:b/>
                <w:color w:val="000000" w:themeColor="text1"/>
                <w:sz w:val="20"/>
                <w:szCs w:val="20"/>
              </w:rPr>
              <w:t>4</w:t>
            </w:r>
          </w:p>
        </w:tc>
        <w:tc>
          <w:tcPr>
            <w:tcW w:w="7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13A658" w14:textId="0E6FCCFC" w:rsidR="003934AA" w:rsidRPr="006E2342" w:rsidRDefault="003934AA" w:rsidP="003934AA">
            <w:pPr>
              <w:spacing w:after="0" w:line="240" w:lineRule="auto"/>
              <w:rPr>
                <w:rFonts w:ascii="Times New Roman" w:hAnsi="Times New Roman" w:cs="Times New Roman"/>
                <w:b/>
                <w:color w:val="000000" w:themeColor="text1"/>
                <w:sz w:val="20"/>
                <w:szCs w:val="20"/>
              </w:rPr>
            </w:pPr>
            <w:r w:rsidRPr="006E2342">
              <w:rPr>
                <w:rFonts w:ascii="Times New Roman" w:hAnsi="Times New Roman" w:cs="Times New Roman"/>
                <w:b/>
                <w:bCs/>
                <w:color w:val="000000" w:themeColor="text1"/>
                <w:sz w:val="20"/>
                <w:szCs w:val="20"/>
              </w:rPr>
              <w:t xml:space="preserve">Разработка технико-экономического обоснования инвестиционной стадии проекта, </w:t>
            </w:r>
            <w:proofErr w:type="spellStart"/>
            <w:r w:rsidRPr="006E2342">
              <w:rPr>
                <w:rFonts w:ascii="Times New Roman" w:hAnsi="Times New Roman" w:cs="Times New Roman"/>
                <w:b/>
                <w:bCs/>
                <w:color w:val="000000" w:themeColor="text1"/>
                <w:sz w:val="20"/>
                <w:szCs w:val="20"/>
              </w:rPr>
              <w:t>прединвестиционный</w:t>
            </w:r>
            <w:proofErr w:type="spellEnd"/>
            <w:r w:rsidRPr="006E2342">
              <w:rPr>
                <w:rFonts w:ascii="Times New Roman" w:hAnsi="Times New Roman" w:cs="Times New Roman"/>
                <w:b/>
                <w:bCs/>
                <w:color w:val="000000" w:themeColor="text1"/>
                <w:sz w:val="20"/>
                <w:szCs w:val="20"/>
              </w:rPr>
              <w:t xml:space="preserve"> анализ и оптимизация проекта, не включая расходы на аналитические исследования рынка</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134F8"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9CE02"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FA3F"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D07D1"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391E153" w14:textId="0562A7CD"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4E7E057E" w14:textId="34CC23E9"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3A59288" w14:textId="168A8394"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11F34A7E" w14:textId="5AE687C0" w:rsidR="003934AA" w:rsidRPr="00D32C5F"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8A82"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762B0"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r>
      <w:tr w:rsidR="00FC1BA8" w:rsidRPr="00C72757" w14:paraId="4FAA4977" w14:textId="77777777" w:rsidTr="00FC1BA8">
        <w:trPr>
          <w:trHeight w:val="558"/>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2503E1EF" w14:textId="4D75D320"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20FF4832" w14:textId="0D7E7E35" w:rsidR="00FC1BA8" w:rsidRPr="006E2342" w:rsidRDefault="00FC1BA8" w:rsidP="00FC1BA8">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C816CBE" w14:textId="37E0F7BA" w:rsidR="00FC1BA8" w:rsidRPr="0073067F" w:rsidRDefault="00FC1BA8" w:rsidP="00FC1BA8">
            <w:pPr>
              <w:spacing w:after="0" w:line="240" w:lineRule="auto"/>
              <w:jc w:val="center"/>
              <w:rPr>
                <w:rFonts w:ascii="Times New Roman" w:hAnsi="Times New Roman" w:cs="Times New Roman"/>
                <w:b/>
                <w:bCs/>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0C35B946" w14:textId="4BCDF947" w:rsidR="00FC1BA8" w:rsidRPr="0073067F" w:rsidRDefault="00FC1BA8" w:rsidP="00FC1BA8">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04117CD6" w14:textId="77777777"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2DEEDF61" w14:textId="77777777"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3FFC6A93" w14:textId="244A2A12"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191572D" w14:textId="4C3CC6A9"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FCA4804" w14:textId="529E1E3B" w:rsidR="00FC1BA8" w:rsidRPr="00C72757" w:rsidRDefault="00FC1BA8" w:rsidP="00FC1BA8">
            <w:pPr>
              <w:spacing w:after="0" w:line="240" w:lineRule="auto"/>
              <w:jc w:val="center"/>
              <w:rPr>
                <w:rFonts w:ascii="Times New Roman" w:hAnsi="Times New Roman" w:cs="Times New Roman"/>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1E39A629" w14:textId="16FA994C" w:rsidR="00FC1BA8" w:rsidRPr="00C72757" w:rsidRDefault="00FC1BA8" w:rsidP="00FC1BA8">
            <w:pPr>
              <w:spacing w:after="0" w:line="240" w:lineRule="auto"/>
              <w:jc w:val="center"/>
              <w:rPr>
                <w:rFonts w:ascii="Times New Roman" w:hAnsi="Times New Roman" w:cs="Times New Roman"/>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4A82B2B" w14:textId="77777777"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28CD3E8" w14:textId="77777777" w:rsidR="00FC1BA8" w:rsidRPr="00C72757" w:rsidRDefault="00FC1BA8" w:rsidP="00FC1BA8">
            <w:pPr>
              <w:spacing w:after="0" w:line="240" w:lineRule="auto"/>
              <w:jc w:val="center"/>
              <w:rPr>
                <w:rFonts w:ascii="Times New Roman" w:hAnsi="Times New Roman" w:cs="Times New Roman"/>
                <w:b/>
                <w:bCs/>
                <w:color w:val="000000" w:themeColor="text1"/>
                <w:sz w:val="20"/>
                <w:szCs w:val="20"/>
              </w:rPr>
            </w:pPr>
          </w:p>
        </w:tc>
      </w:tr>
      <w:tr w:rsidR="007534FF" w:rsidRPr="00C72757" w14:paraId="78B5708B" w14:textId="77777777" w:rsidTr="00D15A81">
        <w:trPr>
          <w:trHeight w:val="298"/>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52D1406F" w14:textId="39D6D0A9" w:rsidR="007534FF" w:rsidRPr="00C72757" w:rsidRDefault="00422D11" w:rsidP="006A57C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6</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0A1B2DF" w14:textId="7ABC27CA" w:rsidR="007534FF" w:rsidRPr="006E2342" w:rsidRDefault="00C56334" w:rsidP="006A57C1">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Инжиниринг</w:t>
            </w:r>
            <w:r w:rsidR="007534FF" w:rsidRPr="006E2342">
              <w:rPr>
                <w:rFonts w:ascii="Times New Roman" w:hAnsi="Times New Roman" w:cs="Times New Roman"/>
                <w:b/>
                <w:bCs/>
                <w:color w:val="000000" w:themeColor="text1"/>
                <w:sz w:val="20"/>
                <w:szCs w:val="20"/>
              </w:rPr>
              <w:t>:</w:t>
            </w:r>
          </w:p>
        </w:tc>
        <w:tc>
          <w:tcPr>
            <w:tcW w:w="355" w:type="pct"/>
            <w:tcBorders>
              <w:top w:val="nil"/>
              <w:left w:val="nil"/>
              <w:bottom w:val="single" w:sz="4" w:space="0" w:color="auto"/>
              <w:right w:val="single" w:sz="4" w:space="0" w:color="auto"/>
            </w:tcBorders>
            <w:shd w:val="clear" w:color="auto" w:fill="auto"/>
            <w:noWrap/>
            <w:vAlign w:val="center"/>
          </w:tcPr>
          <w:p w14:paraId="1657F8F8"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center"/>
          </w:tcPr>
          <w:p w14:paraId="47F70168"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9FDDF46" w14:textId="77777777"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4B6B813B" w14:textId="77777777"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7649977C"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00457533"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3ADD077"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3E231BC8" w14:textId="77777777" w:rsidR="007534FF" w:rsidRPr="00C72757" w:rsidRDefault="007534FF" w:rsidP="006A57C1">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3ED927E" w14:textId="77777777"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2C19E6BB" w14:textId="77777777" w:rsidR="007534FF" w:rsidRPr="00C72757" w:rsidRDefault="007534FF" w:rsidP="006A57C1">
            <w:pPr>
              <w:spacing w:after="0" w:line="240" w:lineRule="auto"/>
              <w:jc w:val="center"/>
              <w:rPr>
                <w:rFonts w:ascii="Times New Roman" w:hAnsi="Times New Roman" w:cs="Times New Roman"/>
                <w:b/>
                <w:bCs/>
                <w:color w:val="000000" w:themeColor="text1"/>
                <w:sz w:val="20"/>
                <w:szCs w:val="20"/>
              </w:rPr>
            </w:pPr>
          </w:p>
        </w:tc>
      </w:tr>
      <w:tr w:rsidR="003934AA" w:rsidRPr="00C72757" w14:paraId="50C0EF0D" w14:textId="77777777" w:rsidTr="00FE047D">
        <w:trPr>
          <w:trHeight w:val="337"/>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63AB71D1" w14:textId="13B19CAA" w:rsidR="003934AA" w:rsidRPr="00C72757" w:rsidRDefault="00422D11" w:rsidP="00422D1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6</w:t>
            </w:r>
            <w:r w:rsidR="003934AA" w:rsidRPr="00C72757">
              <w:rPr>
                <w:rFonts w:ascii="Times New Roman" w:hAnsi="Times New Roman" w:cs="Times New Roman"/>
                <w:color w:val="000000" w:themeColor="text1"/>
                <w:sz w:val="20"/>
                <w:szCs w:val="20"/>
              </w:rPr>
              <w:t>.1</w:t>
            </w:r>
          </w:p>
        </w:tc>
        <w:tc>
          <w:tcPr>
            <w:tcW w:w="7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33A395D" w14:textId="7A4CFA1A" w:rsidR="003934AA" w:rsidRPr="006E2342" w:rsidRDefault="003934AA" w:rsidP="003934AA">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color w:val="000000" w:themeColor="text1"/>
                <w:sz w:val="20"/>
                <w:szCs w:val="20"/>
              </w:rPr>
              <w:t>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программно-аппаратных комплексов, включая разработку технической документации, для обеспечения внедрения результатов разработок в серийное производство</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87D8"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321E4"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7F90D"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A3DA9"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85C89B5" w14:textId="24FD2BCA"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111BD4C6" w14:textId="02FC52B2"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3BE78AF" w14:textId="54D46D12"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D28B9B9" w14:textId="746933FC"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DAA1"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52608"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r>
      <w:tr w:rsidR="003934AA" w:rsidRPr="00C72757" w14:paraId="64FB78B4" w14:textId="77777777" w:rsidTr="00D15A81">
        <w:trPr>
          <w:trHeight w:val="413"/>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149FA004" w14:textId="3717BB91" w:rsidR="003934AA" w:rsidRPr="00C72757" w:rsidRDefault="00422D11" w:rsidP="00422D1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3934AA" w:rsidRPr="00C72757">
              <w:rPr>
                <w:rFonts w:ascii="Times New Roman" w:hAnsi="Times New Roman" w:cs="Times New Roman"/>
                <w:color w:val="000000" w:themeColor="text1"/>
                <w:sz w:val="20"/>
                <w:szCs w:val="20"/>
              </w:rPr>
              <w:t>.2</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4ACA6835" w14:textId="69325191" w:rsidR="003934AA" w:rsidRPr="006E2342" w:rsidRDefault="003934AA" w:rsidP="003934AA">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color w:val="000000" w:themeColor="text1"/>
                <w:sz w:val="20"/>
                <w:szCs w:val="20"/>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 эпидемиологической, пожарной и других служб, подготовку и получение разрешения на осуществление градостроительной деятельности</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20CA048"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496DBAA1"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19D8F7A"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495FEC1"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95B1E3C"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7A3C1C1" w14:textId="77777777" w:rsidR="003934AA" w:rsidRPr="00C72757" w:rsidRDefault="003934AA" w:rsidP="003934AA">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04D00C7" w14:textId="1EA29ACB" w:rsidR="003934AA" w:rsidRPr="00C72757" w:rsidRDefault="003934AA" w:rsidP="003934AA">
            <w:pPr>
              <w:spacing w:after="0" w:line="240" w:lineRule="auto"/>
              <w:jc w:val="center"/>
              <w:rPr>
                <w:rFonts w:ascii="Times New Roman" w:hAnsi="Times New Roman" w:cs="Times New Roman"/>
                <w:color w:val="000000" w:themeColor="text1"/>
                <w:sz w:val="20"/>
                <w:szCs w:val="20"/>
              </w:rPr>
            </w:pPr>
            <w:r w:rsidRPr="00BB7E7A">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752388D6" w14:textId="5F19212E" w:rsidR="003934AA" w:rsidRPr="00C72757" w:rsidRDefault="003934AA" w:rsidP="003934AA">
            <w:pPr>
              <w:spacing w:after="0" w:line="240" w:lineRule="auto"/>
              <w:jc w:val="center"/>
              <w:rPr>
                <w:rFonts w:ascii="Times New Roman" w:hAnsi="Times New Roman" w:cs="Times New Roman"/>
                <w:color w:val="000000" w:themeColor="text1"/>
                <w:sz w:val="20"/>
                <w:szCs w:val="20"/>
              </w:rPr>
            </w:pPr>
            <w:r w:rsidRPr="00BB7E7A">
              <w:rPr>
                <w:rFonts w:ascii="Times New Roman" w:hAnsi="Times New Roman" w:cs="Times New Roman"/>
                <w:b/>
                <w:bCs/>
                <w:color w:val="000000" w:themeColor="text1"/>
                <w:sz w:val="20"/>
                <w:szCs w:val="20"/>
              </w:rPr>
              <w:t>Х</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F4582EF"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8BCFB24" w14:textId="77777777" w:rsidR="003934AA" w:rsidRPr="00C72757" w:rsidRDefault="003934AA" w:rsidP="003934AA">
            <w:pPr>
              <w:spacing w:after="0" w:line="240" w:lineRule="auto"/>
              <w:jc w:val="center"/>
              <w:rPr>
                <w:rFonts w:ascii="Times New Roman" w:hAnsi="Times New Roman" w:cs="Times New Roman"/>
                <w:b/>
                <w:bCs/>
                <w:color w:val="000000" w:themeColor="text1"/>
                <w:sz w:val="20"/>
                <w:szCs w:val="20"/>
              </w:rPr>
            </w:pPr>
          </w:p>
        </w:tc>
      </w:tr>
      <w:tr w:rsidR="00D15A81" w:rsidRPr="00C72757" w14:paraId="79E2E157" w14:textId="77777777" w:rsidTr="00D15A81">
        <w:trPr>
          <w:trHeight w:val="841"/>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E528F6C" w14:textId="2B1EFB5C" w:rsidR="00D15A81" w:rsidRPr="00422D11" w:rsidRDefault="00422D11" w:rsidP="006A57C1">
            <w:pPr>
              <w:spacing w:after="0" w:line="240" w:lineRule="auto"/>
              <w:jc w:val="center"/>
              <w:rPr>
                <w:rFonts w:ascii="Times New Roman" w:hAnsi="Times New Roman" w:cs="Times New Roman"/>
                <w:b/>
                <w:color w:val="000000" w:themeColor="text1"/>
                <w:sz w:val="20"/>
                <w:szCs w:val="20"/>
              </w:rPr>
            </w:pPr>
            <w:r w:rsidRPr="00422D11">
              <w:rPr>
                <w:rFonts w:ascii="Times New Roman" w:hAnsi="Times New Roman" w:cs="Times New Roman"/>
                <w:b/>
                <w:color w:val="000000" w:themeColor="text1"/>
                <w:sz w:val="20"/>
                <w:szCs w:val="20"/>
              </w:rPr>
              <w:t>7</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054E9A4" w14:textId="418D8828" w:rsidR="00D15A81" w:rsidRPr="006E2342" w:rsidRDefault="00D15A81" w:rsidP="006A57C1">
            <w:pPr>
              <w:spacing w:after="0" w:line="240" w:lineRule="auto"/>
              <w:rPr>
                <w:rFonts w:ascii="Times New Roman" w:hAnsi="Times New Roman" w:cs="Times New Roman"/>
                <w:color w:val="000000" w:themeColor="text1"/>
                <w:sz w:val="20"/>
                <w:szCs w:val="20"/>
              </w:rPr>
            </w:pPr>
            <w:r w:rsidRPr="006E2342">
              <w:rPr>
                <w:rFonts w:ascii="Times New Roman" w:hAnsi="Times New Roman" w:cs="Times New Roman"/>
                <w:b/>
                <w:bCs/>
                <w:color w:val="000000" w:themeColor="text1"/>
                <w:sz w:val="20"/>
                <w:szCs w:val="20"/>
              </w:rPr>
              <w:t>Государственная экспертиза проектной документации</w:t>
            </w:r>
          </w:p>
        </w:tc>
        <w:tc>
          <w:tcPr>
            <w:tcW w:w="355" w:type="pct"/>
            <w:tcBorders>
              <w:top w:val="nil"/>
              <w:left w:val="nil"/>
              <w:bottom w:val="single" w:sz="4" w:space="0" w:color="auto"/>
              <w:right w:val="single" w:sz="4" w:space="0" w:color="auto"/>
            </w:tcBorders>
            <w:shd w:val="clear" w:color="auto" w:fill="auto"/>
            <w:noWrap/>
            <w:vAlign w:val="center"/>
          </w:tcPr>
          <w:p w14:paraId="34941664" w14:textId="6DAD3368"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501" w:type="pct"/>
            <w:tcBorders>
              <w:top w:val="nil"/>
              <w:left w:val="nil"/>
              <w:bottom w:val="single" w:sz="4" w:space="0" w:color="auto"/>
              <w:right w:val="single" w:sz="4" w:space="0" w:color="auto"/>
            </w:tcBorders>
            <w:shd w:val="clear" w:color="auto" w:fill="auto"/>
            <w:noWrap/>
            <w:vAlign w:val="center"/>
          </w:tcPr>
          <w:p w14:paraId="302BBDB1" w14:textId="77777777"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918EE18" w14:textId="289A048F"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6C72CA6F" w14:textId="77777777"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ACCFB9D" w14:textId="37ADAB74"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74DD701A" w14:textId="77777777" w:rsidR="00D15A81" w:rsidRPr="003934AA"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E228CE1" w14:textId="48EEC97B" w:rsidR="00D15A81" w:rsidRPr="003934AA" w:rsidRDefault="003934AA" w:rsidP="006A57C1">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3E838242" w14:textId="4AF44887" w:rsidR="00D15A81" w:rsidRPr="003934AA" w:rsidRDefault="003934AA" w:rsidP="006A57C1">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355" w:type="pct"/>
            <w:tcBorders>
              <w:top w:val="nil"/>
              <w:left w:val="nil"/>
              <w:bottom w:val="single" w:sz="4" w:space="0" w:color="auto"/>
              <w:right w:val="single" w:sz="4" w:space="0" w:color="auto"/>
            </w:tcBorders>
            <w:shd w:val="clear" w:color="auto" w:fill="auto"/>
            <w:noWrap/>
            <w:vAlign w:val="center"/>
          </w:tcPr>
          <w:p w14:paraId="5628F4D1"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7C44E3C4"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r>
      <w:tr w:rsidR="00D15A81" w:rsidRPr="00C72757" w14:paraId="24102293" w14:textId="77777777" w:rsidTr="00D15A81">
        <w:trPr>
          <w:trHeight w:val="31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0FEBD2A6" w14:textId="669794A7" w:rsidR="00D15A81" w:rsidRPr="00C72757" w:rsidRDefault="00422D11" w:rsidP="006A57C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8</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4FCF083" w14:textId="17C96A58" w:rsidR="00D15A81" w:rsidRPr="006E2342" w:rsidRDefault="00D15A81" w:rsidP="006A57C1">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Разработка рабочей документации для объектов капитального строительства</w:t>
            </w:r>
          </w:p>
        </w:tc>
        <w:tc>
          <w:tcPr>
            <w:tcW w:w="355" w:type="pct"/>
            <w:tcBorders>
              <w:top w:val="nil"/>
              <w:left w:val="nil"/>
              <w:bottom w:val="single" w:sz="4" w:space="0" w:color="auto"/>
              <w:right w:val="single" w:sz="4" w:space="0" w:color="auto"/>
            </w:tcBorders>
            <w:shd w:val="clear" w:color="auto" w:fill="auto"/>
            <w:noWrap/>
            <w:vAlign w:val="center"/>
            <w:hideMark/>
          </w:tcPr>
          <w:p w14:paraId="56A3B2FF" w14:textId="4557ED26"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501" w:type="pct"/>
            <w:tcBorders>
              <w:top w:val="nil"/>
              <w:left w:val="nil"/>
              <w:bottom w:val="single" w:sz="4" w:space="0" w:color="auto"/>
              <w:right w:val="single" w:sz="4" w:space="0" w:color="auto"/>
            </w:tcBorders>
            <w:shd w:val="clear" w:color="auto" w:fill="auto"/>
            <w:noWrap/>
            <w:vAlign w:val="center"/>
          </w:tcPr>
          <w:p w14:paraId="6116BF92" w14:textId="410D6D7B"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40C02333" w14:textId="62634A25"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2613293B" w14:textId="6B8D73B3"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48217DC5" w14:textId="70415C7B"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47E2D764" w14:textId="0EC73BE8"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646DF596" w14:textId="24AFF04E" w:rsidR="00D15A81" w:rsidRPr="003934AA" w:rsidRDefault="00D15A81" w:rsidP="003934AA">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455" w:type="pct"/>
            <w:tcBorders>
              <w:top w:val="nil"/>
              <w:left w:val="nil"/>
              <w:bottom w:val="single" w:sz="4" w:space="0" w:color="auto"/>
              <w:right w:val="single" w:sz="4" w:space="0" w:color="auto"/>
            </w:tcBorders>
            <w:shd w:val="clear" w:color="auto" w:fill="auto"/>
            <w:noWrap/>
            <w:vAlign w:val="center"/>
          </w:tcPr>
          <w:p w14:paraId="697368A9" w14:textId="792C7ED3" w:rsidR="00D15A81" w:rsidRPr="003934AA" w:rsidRDefault="003934AA" w:rsidP="003934AA">
            <w:pPr>
              <w:spacing w:after="0" w:line="240" w:lineRule="auto"/>
              <w:jc w:val="center"/>
              <w:rPr>
                <w:rFonts w:ascii="Times New Roman" w:hAnsi="Times New Roman" w:cs="Times New Roman"/>
                <w:b/>
                <w:bCs/>
                <w:color w:val="000000" w:themeColor="text1"/>
                <w:sz w:val="20"/>
                <w:szCs w:val="20"/>
              </w:rPr>
            </w:pPr>
            <w:r w:rsidRPr="003934AA">
              <w:rPr>
                <w:rFonts w:ascii="Times New Roman" w:hAnsi="Times New Roman" w:cs="Times New Roman"/>
                <w:b/>
                <w:bCs/>
                <w:color w:val="000000" w:themeColor="text1"/>
                <w:sz w:val="20"/>
                <w:szCs w:val="20"/>
              </w:rPr>
              <w:t>Х</w:t>
            </w:r>
          </w:p>
        </w:tc>
        <w:tc>
          <w:tcPr>
            <w:tcW w:w="355" w:type="pct"/>
            <w:tcBorders>
              <w:top w:val="nil"/>
              <w:left w:val="nil"/>
              <w:bottom w:val="single" w:sz="4" w:space="0" w:color="auto"/>
              <w:right w:val="single" w:sz="4" w:space="0" w:color="auto"/>
            </w:tcBorders>
            <w:shd w:val="clear" w:color="auto" w:fill="auto"/>
            <w:noWrap/>
            <w:vAlign w:val="center"/>
          </w:tcPr>
          <w:p w14:paraId="0B830E30" w14:textId="3BCC7C6E" w:rsidR="00D15A81" w:rsidRPr="00C72757" w:rsidRDefault="00D15A81" w:rsidP="006A57C1">
            <w:pPr>
              <w:jc w:val="center"/>
              <w:rPr>
                <w:color w:val="000000" w:themeColor="text1"/>
              </w:rPr>
            </w:pPr>
          </w:p>
        </w:tc>
        <w:tc>
          <w:tcPr>
            <w:tcW w:w="455" w:type="pct"/>
            <w:tcBorders>
              <w:top w:val="nil"/>
              <w:left w:val="nil"/>
              <w:bottom w:val="single" w:sz="4" w:space="0" w:color="auto"/>
              <w:right w:val="single" w:sz="4" w:space="0" w:color="auto"/>
            </w:tcBorders>
            <w:shd w:val="clear" w:color="auto" w:fill="auto"/>
            <w:noWrap/>
            <w:vAlign w:val="center"/>
          </w:tcPr>
          <w:p w14:paraId="3DC40567" w14:textId="11A9D7E7" w:rsidR="00D15A81" w:rsidRPr="00C72757" w:rsidRDefault="00D15A81" w:rsidP="006A57C1">
            <w:pPr>
              <w:jc w:val="center"/>
              <w:rPr>
                <w:color w:val="000000" w:themeColor="text1"/>
              </w:rPr>
            </w:pPr>
          </w:p>
        </w:tc>
      </w:tr>
      <w:tr w:rsidR="00D15A81" w:rsidRPr="00C72757" w14:paraId="271D5001" w14:textId="77777777" w:rsidTr="00D15A81">
        <w:trPr>
          <w:trHeight w:val="693"/>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A0B394C" w14:textId="2E65F6C2" w:rsidR="00D15A81" w:rsidRPr="00C72757" w:rsidRDefault="00422D11" w:rsidP="00422D1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9</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3BA1CE8F" w14:textId="32A0D668" w:rsidR="00D15A81" w:rsidRPr="006E2342" w:rsidRDefault="00E72096" w:rsidP="006A57C1">
            <w:pPr>
              <w:spacing w:after="0" w:line="240" w:lineRule="auto"/>
              <w:rPr>
                <w:rFonts w:ascii="Times New Roman" w:hAnsi="Times New Roman" w:cs="Times New Roman"/>
                <w:b/>
                <w:bCs/>
                <w:color w:val="000000" w:themeColor="text1"/>
                <w:sz w:val="20"/>
                <w:szCs w:val="20"/>
              </w:rPr>
            </w:pPr>
            <w:r w:rsidRPr="006E2342">
              <w:rPr>
                <w:rFonts w:ascii="Times New Roman" w:hAnsi="Times New Roman" w:cs="Times New Roman"/>
                <w:b/>
                <w:bCs/>
                <w:color w:val="000000" w:themeColor="text1"/>
                <w:sz w:val="20"/>
                <w:szCs w:val="20"/>
              </w:rPr>
              <w:t>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tc>
        <w:tc>
          <w:tcPr>
            <w:tcW w:w="355" w:type="pct"/>
            <w:tcBorders>
              <w:top w:val="nil"/>
              <w:left w:val="nil"/>
              <w:bottom w:val="single" w:sz="4" w:space="0" w:color="auto"/>
              <w:right w:val="single" w:sz="4" w:space="0" w:color="auto"/>
            </w:tcBorders>
            <w:shd w:val="clear" w:color="auto" w:fill="auto"/>
            <w:noWrap/>
            <w:vAlign w:val="center"/>
            <w:hideMark/>
          </w:tcPr>
          <w:p w14:paraId="497E1565" w14:textId="7114DAD5" w:rsidR="00D15A81" w:rsidRPr="00C72757" w:rsidRDefault="00D15A81" w:rsidP="006A57C1">
            <w:pPr>
              <w:jc w:val="center"/>
              <w:rPr>
                <w:color w:val="000000" w:themeColor="text1"/>
              </w:rPr>
            </w:pPr>
          </w:p>
        </w:tc>
        <w:tc>
          <w:tcPr>
            <w:tcW w:w="501" w:type="pct"/>
            <w:tcBorders>
              <w:top w:val="nil"/>
              <w:left w:val="nil"/>
              <w:bottom w:val="single" w:sz="4" w:space="0" w:color="auto"/>
              <w:right w:val="single" w:sz="4" w:space="0" w:color="auto"/>
            </w:tcBorders>
            <w:shd w:val="clear" w:color="auto" w:fill="auto"/>
            <w:noWrap/>
            <w:vAlign w:val="center"/>
          </w:tcPr>
          <w:p w14:paraId="0507AE8B" w14:textId="3B2DEA97" w:rsidR="00D15A81" w:rsidRPr="00C72757" w:rsidRDefault="00D15A81" w:rsidP="006A57C1">
            <w:pPr>
              <w:jc w:val="center"/>
              <w:rPr>
                <w:color w:val="000000" w:themeColor="text1"/>
              </w:rPr>
            </w:pPr>
          </w:p>
        </w:tc>
        <w:tc>
          <w:tcPr>
            <w:tcW w:w="355" w:type="pct"/>
            <w:tcBorders>
              <w:top w:val="nil"/>
              <w:left w:val="nil"/>
              <w:bottom w:val="single" w:sz="4" w:space="0" w:color="auto"/>
              <w:right w:val="single" w:sz="4" w:space="0" w:color="auto"/>
            </w:tcBorders>
            <w:shd w:val="clear" w:color="auto" w:fill="auto"/>
            <w:noWrap/>
            <w:vAlign w:val="center"/>
            <w:hideMark/>
          </w:tcPr>
          <w:p w14:paraId="12BFBEB9" w14:textId="481C1F87" w:rsidR="00D15A81" w:rsidRPr="00C72757" w:rsidRDefault="00D15A81" w:rsidP="006A57C1">
            <w:pPr>
              <w:jc w:val="center"/>
              <w:rPr>
                <w:color w:val="000000" w:themeColor="text1"/>
              </w:rPr>
            </w:pPr>
          </w:p>
        </w:tc>
        <w:tc>
          <w:tcPr>
            <w:tcW w:w="455" w:type="pct"/>
            <w:tcBorders>
              <w:top w:val="nil"/>
              <w:left w:val="nil"/>
              <w:bottom w:val="single" w:sz="4" w:space="0" w:color="auto"/>
              <w:right w:val="single" w:sz="4" w:space="0" w:color="auto"/>
            </w:tcBorders>
            <w:shd w:val="clear" w:color="auto" w:fill="auto"/>
            <w:noWrap/>
            <w:vAlign w:val="center"/>
          </w:tcPr>
          <w:p w14:paraId="610489D5" w14:textId="2C9C99DB" w:rsidR="00D15A81" w:rsidRPr="00C72757" w:rsidRDefault="00D15A81" w:rsidP="006A57C1">
            <w:pPr>
              <w:jc w:val="center"/>
              <w:rPr>
                <w:color w:val="000000" w:themeColor="text1"/>
              </w:rPr>
            </w:pPr>
          </w:p>
        </w:tc>
        <w:tc>
          <w:tcPr>
            <w:tcW w:w="355" w:type="pct"/>
            <w:tcBorders>
              <w:top w:val="nil"/>
              <w:left w:val="nil"/>
              <w:bottom w:val="single" w:sz="4" w:space="0" w:color="auto"/>
              <w:right w:val="single" w:sz="4" w:space="0" w:color="auto"/>
            </w:tcBorders>
            <w:shd w:val="clear" w:color="auto" w:fill="auto"/>
            <w:noWrap/>
            <w:vAlign w:val="center"/>
            <w:hideMark/>
          </w:tcPr>
          <w:p w14:paraId="0628AD4A" w14:textId="79F26B83" w:rsidR="00D15A81" w:rsidRPr="00C72757" w:rsidRDefault="00D15A81" w:rsidP="006A57C1">
            <w:pPr>
              <w:jc w:val="center"/>
              <w:rPr>
                <w:color w:val="000000" w:themeColor="text1"/>
              </w:rPr>
            </w:pPr>
          </w:p>
        </w:tc>
        <w:tc>
          <w:tcPr>
            <w:tcW w:w="455" w:type="pct"/>
            <w:tcBorders>
              <w:top w:val="nil"/>
              <w:left w:val="nil"/>
              <w:bottom w:val="single" w:sz="4" w:space="0" w:color="auto"/>
              <w:right w:val="single" w:sz="4" w:space="0" w:color="auto"/>
            </w:tcBorders>
            <w:shd w:val="clear" w:color="auto" w:fill="auto"/>
            <w:noWrap/>
            <w:vAlign w:val="center"/>
          </w:tcPr>
          <w:p w14:paraId="618C9B7D" w14:textId="0C51E27D" w:rsidR="00D15A81" w:rsidRPr="00C72757" w:rsidRDefault="00D15A81" w:rsidP="006A57C1">
            <w:pPr>
              <w:jc w:val="center"/>
              <w:rPr>
                <w:color w:val="000000" w:themeColor="text1"/>
              </w:rPr>
            </w:pPr>
          </w:p>
        </w:tc>
        <w:tc>
          <w:tcPr>
            <w:tcW w:w="355" w:type="pct"/>
            <w:tcBorders>
              <w:top w:val="nil"/>
              <w:left w:val="nil"/>
              <w:bottom w:val="single" w:sz="4" w:space="0" w:color="auto"/>
              <w:right w:val="single" w:sz="4" w:space="0" w:color="auto"/>
            </w:tcBorders>
            <w:shd w:val="clear" w:color="auto" w:fill="auto"/>
            <w:noWrap/>
            <w:vAlign w:val="center"/>
            <w:hideMark/>
          </w:tcPr>
          <w:p w14:paraId="6A35FFAC" w14:textId="641368E3" w:rsidR="00D15A81" w:rsidRPr="00C72757" w:rsidRDefault="00D15A81" w:rsidP="006A57C1">
            <w:pPr>
              <w:jc w:val="center"/>
              <w:rPr>
                <w:color w:val="000000" w:themeColor="text1"/>
              </w:rPr>
            </w:pPr>
          </w:p>
        </w:tc>
        <w:tc>
          <w:tcPr>
            <w:tcW w:w="455" w:type="pct"/>
            <w:tcBorders>
              <w:top w:val="nil"/>
              <w:left w:val="nil"/>
              <w:bottom w:val="single" w:sz="4" w:space="0" w:color="auto"/>
              <w:right w:val="single" w:sz="4" w:space="0" w:color="auto"/>
            </w:tcBorders>
            <w:shd w:val="clear" w:color="auto" w:fill="auto"/>
            <w:noWrap/>
            <w:vAlign w:val="center"/>
          </w:tcPr>
          <w:p w14:paraId="349E4D97" w14:textId="6090616D" w:rsidR="00D15A81" w:rsidRPr="00C72757" w:rsidRDefault="00D15A81" w:rsidP="006A57C1">
            <w:pPr>
              <w:jc w:val="center"/>
              <w:rPr>
                <w:color w:val="000000" w:themeColor="text1"/>
              </w:rPr>
            </w:pPr>
          </w:p>
        </w:tc>
        <w:tc>
          <w:tcPr>
            <w:tcW w:w="355" w:type="pct"/>
            <w:tcBorders>
              <w:top w:val="nil"/>
              <w:left w:val="nil"/>
              <w:bottom w:val="single" w:sz="4" w:space="0" w:color="auto"/>
              <w:right w:val="single" w:sz="4" w:space="0" w:color="auto"/>
            </w:tcBorders>
            <w:shd w:val="clear" w:color="auto" w:fill="auto"/>
            <w:noWrap/>
            <w:vAlign w:val="center"/>
          </w:tcPr>
          <w:p w14:paraId="3813671B" w14:textId="3C93BDC7" w:rsidR="00D15A81" w:rsidRPr="00C72757" w:rsidRDefault="00D15A81" w:rsidP="006A57C1">
            <w:pPr>
              <w:jc w:val="center"/>
              <w:rPr>
                <w:color w:val="000000" w:themeColor="text1"/>
              </w:rPr>
            </w:pPr>
          </w:p>
        </w:tc>
        <w:tc>
          <w:tcPr>
            <w:tcW w:w="455" w:type="pct"/>
            <w:tcBorders>
              <w:top w:val="nil"/>
              <w:left w:val="nil"/>
              <w:bottom w:val="single" w:sz="4" w:space="0" w:color="auto"/>
              <w:right w:val="single" w:sz="4" w:space="0" w:color="auto"/>
            </w:tcBorders>
            <w:shd w:val="clear" w:color="auto" w:fill="auto"/>
            <w:noWrap/>
            <w:vAlign w:val="center"/>
          </w:tcPr>
          <w:p w14:paraId="5B675B10" w14:textId="2ECE54B0" w:rsidR="00D15A81" w:rsidRPr="00C72757" w:rsidRDefault="00D15A81" w:rsidP="006A57C1">
            <w:pPr>
              <w:jc w:val="center"/>
              <w:rPr>
                <w:color w:val="000000" w:themeColor="text1"/>
              </w:rPr>
            </w:pPr>
          </w:p>
        </w:tc>
      </w:tr>
      <w:tr w:rsidR="00D15A81" w:rsidRPr="00C72757" w14:paraId="2CD8A401" w14:textId="77777777" w:rsidTr="00D15A81">
        <w:trPr>
          <w:trHeight w:val="1124"/>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2A92EC03" w14:textId="26800C4F" w:rsidR="00D15A81" w:rsidRPr="00C72757" w:rsidRDefault="00422D11" w:rsidP="006A57C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10</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61750B06" w14:textId="73F19823" w:rsidR="00D15A81" w:rsidRPr="00C72757" w:rsidRDefault="00D15A81" w:rsidP="006A57C1">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Общехозяйственные расходы, связанные с выполнением работ по Проекту – затраты на выполнение функций управления и обслуживания подразделений, реализующих проект -  в объеме не более 10% от суммы займа</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234E083" w14:textId="166666E3"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2195DAAF"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0CF31DEE" w14:textId="7185C2CA"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5CFE955"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43752B8" w14:textId="338EC5A8"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096D4BD1"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10244DA" w14:textId="074184B1"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0F183451"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E9BC817"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2957EAD5"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r>
      <w:tr w:rsidR="00D15A81" w:rsidRPr="00C72757" w14:paraId="2512F4E3" w14:textId="77777777" w:rsidTr="00FC1BA8">
        <w:trPr>
          <w:trHeight w:val="989"/>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0E187DCD" w14:textId="429CA331" w:rsidR="00D15A81" w:rsidRPr="00C72757" w:rsidRDefault="00422D11" w:rsidP="00D15A8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11</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5C9EE73B" w14:textId="596B89F4" w:rsidR="00D15A81" w:rsidRPr="00C72757" w:rsidRDefault="00D15A81" w:rsidP="006A57C1">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Строительство и реконструкция объектов капитального строительства</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719A065" w14:textId="2387862B"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0D2B13FE"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8AAADD2" w14:textId="360735B0"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6DB341E"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326B5324" w14:textId="0F76E656"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A6169AA"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61F7393" w14:textId="46D1EDA7" w:rsidR="00D15A81" w:rsidRPr="00C72757" w:rsidRDefault="00D15A81" w:rsidP="006A57C1">
            <w:pPr>
              <w:spacing w:after="0" w:line="240" w:lineRule="auto"/>
              <w:jc w:val="center"/>
              <w:rPr>
                <w:rFonts w:ascii="Times New Roman" w:hAnsi="Times New Roman" w:cs="Times New Roman"/>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FA1BFEB" w14:textId="77777777" w:rsidR="00D15A81" w:rsidRPr="00C72757" w:rsidRDefault="00D15A81" w:rsidP="006A57C1">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5B4C7B54" w14:textId="0AE44CF8"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0242101" w14:textId="77777777" w:rsidR="00D15A81" w:rsidRPr="00C72757" w:rsidRDefault="00D15A81" w:rsidP="006A57C1">
            <w:pPr>
              <w:spacing w:after="0" w:line="240" w:lineRule="auto"/>
              <w:jc w:val="center"/>
              <w:rPr>
                <w:rFonts w:ascii="Times New Roman" w:hAnsi="Times New Roman" w:cs="Times New Roman"/>
                <w:b/>
                <w:bCs/>
                <w:color w:val="000000" w:themeColor="text1"/>
                <w:sz w:val="20"/>
                <w:szCs w:val="20"/>
              </w:rPr>
            </w:pPr>
          </w:p>
        </w:tc>
      </w:tr>
      <w:tr w:rsidR="00D15A81" w:rsidRPr="00C72757" w14:paraId="3A6C29E1" w14:textId="77777777" w:rsidTr="00D15A81">
        <w:trPr>
          <w:trHeight w:val="69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34973EA" w14:textId="5BE3D04E" w:rsidR="00D15A81" w:rsidRPr="00C72757" w:rsidRDefault="00422D11" w:rsidP="00D15A8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12</w:t>
            </w: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hideMark/>
          </w:tcPr>
          <w:p w14:paraId="13F0D4D7" w14:textId="00BB043B"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Прочие капитальные вложения в проекте: приобретение зданий, сооружений, земельных участков, иные вложения</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922071D" w14:textId="44D6077E"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4977903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0AE38B89" w14:textId="7140F239"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66CB12E"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2D60436" w14:textId="109CE69A"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076C3E92"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EA92E4B" w14:textId="4384EC4F"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Х</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1B61E97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64705A7" w14:textId="7369791E"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3DB095B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43CC8514" w14:textId="77777777" w:rsidTr="00D15A81">
        <w:trPr>
          <w:trHeight w:val="1130"/>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628F7082" w14:textId="715EE0DC"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3DC07EA" w14:textId="571D7871"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ИТОГО</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B2869F0" w14:textId="20A26863"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7874CC10"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33C584A3" w14:textId="118B4F92"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3B7E40C0"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7586CFED" w14:textId="287850F5"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4FE3B08E"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CF9225B" w14:textId="2AC69455"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2CA7F70B"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42BD2FBF" w14:textId="3058687D"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EDD888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70DEC4CE" w14:textId="77777777" w:rsidTr="00D15A81">
        <w:trPr>
          <w:trHeight w:val="31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181A33D9"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043CEAB" w14:textId="59C13ABA"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Распределение затрат по годам:</w:t>
            </w:r>
          </w:p>
        </w:tc>
        <w:tc>
          <w:tcPr>
            <w:tcW w:w="355" w:type="pct"/>
            <w:tcBorders>
              <w:top w:val="nil"/>
              <w:left w:val="nil"/>
              <w:bottom w:val="single" w:sz="4" w:space="0" w:color="auto"/>
              <w:right w:val="single" w:sz="4" w:space="0" w:color="auto"/>
            </w:tcBorders>
            <w:shd w:val="clear" w:color="auto" w:fill="auto"/>
            <w:noWrap/>
            <w:vAlign w:val="center"/>
          </w:tcPr>
          <w:p w14:paraId="045C50D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vAlign w:val="center"/>
          </w:tcPr>
          <w:p w14:paraId="6496E07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B2EE9B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21C8BDD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2D27A8F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6589C69F"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7195B91F"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17EBC1AA"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4A7163B5"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7B0B057F"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1990BA81" w14:textId="77777777" w:rsidTr="00D15A81">
        <w:trPr>
          <w:trHeight w:val="31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D3113CA"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hideMark/>
          </w:tcPr>
          <w:p w14:paraId="4ED0F716" w14:textId="6B48086B"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2022 г. (до выдачи займа)</w:t>
            </w:r>
          </w:p>
        </w:tc>
        <w:tc>
          <w:tcPr>
            <w:tcW w:w="355" w:type="pct"/>
            <w:tcBorders>
              <w:top w:val="nil"/>
              <w:left w:val="nil"/>
              <w:bottom w:val="single" w:sz="4" w:space="0" w:color="auto"/>
              <w:right w:val="single" w:sz="4" w:space="0" w:color="auto"/>
            </w:tcBorders>
            <w:shd w:val="clear" w:color="auto" w:fill="auto"/>
            <w:noWrap/>
          </w:tcPr>
          <w:p w14:paraId="41A3E48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tcPr>
          <w:p w14:paraId="4781F6B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5FE299C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133161B3"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687DC8A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3C88549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5522D49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3443731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AA3DE7A"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1B9AB7FA"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219F77AE" w14:textId="77777777" w:rsidTr="00D15A81">
        <w:trPr>
          <w:trHeight w:val="31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604FA1AE"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hideMark/>
          </w:tcPr>
          <w:p w14:paraId="69FA809A" w14:textId="2196E39F"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2023 г. (до выдачи займа)</w:t>
            </w:r>
          </w:p>
        </w:tc>
        <w:tc>
          <w:tcPr>
            <w:tcW w:w="355" w:type="pct"/>
            <w:tcBorders>
              <w:top w:val="nil"/>
              <w:left w:val="nil"/>
              <w:bottom w:val="single" w:sz="4" w:space="0" w:color="auto"/>
              <w:right w:val="single" w:sz="4" w:space="0" w:color="auto"/>
            </w:tcBorders>
            <w:shd w:val="clear" w:color="auto" w:fill="auto"/>
            <w:noWrap/>
          </w:tcPr>
          <w:p w14:paraId="4A247F78"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tcPr>
          <w:p w14:paraId="753AEB2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705CC2E2"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31AD587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622739D3"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15E22BC5"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20B5EF6C"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7EAEC751"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2215A6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2495CB28"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4399BC06" w14:textId="77777777" w:rsidTr="00D15A81">
        <w:trPr>
          <w:trHeight w:val="523"/>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7DBEFFE3"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36B91B7" w14:textId="0970ADED"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2024 г.</w:t>
            </w:r>
          </w:p>
        </w:tc>
        <w:tc>
          <w:tcPr>
            <w:tcW w:w="355" w:type="pct"/>
            <w:tcBorders>
              <w:top w:val="nil"/>
              <w:left w:val="nil"/>
              <w:bottom w:val="single" w:sz="4" w:space="0" w:color="auto"/>
              <w:right w:val="single" w:sz="4" w:space="0" w:color="auto"/>
            </w:tcBorders>
            <w:shd w:val="clear" w:color="auto" w:fill="auto"/>
            <w:noWrap/>
          </w:tcPr>
          <w:p w14:paraId="70C1E2D5"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tcPr>
          <w:p w14:paraId="5927FEE9"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6E6B2275"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1F15DF56"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2525B166"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321350A6"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2A09CBC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54DBFC4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669AE8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6F58FAC8"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04C7B510" w14:textId="77777777" w:rsidTr="00D15A81">
        <w:trPr>
          <w:trHeight w:val="315"/>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36DD2EDB"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5B69F0" w14:textId="4F2A12C6"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2025 г.</w:t>
            </w: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14:paraId="73FC08F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noWrap/>
          </w:tcPr>
          <w:p w14:paraId="26F17B7F"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14:paraId="191B89C9"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5081A4E8"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14:paraId="18A03DA9"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566A4D0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Pr>
          <w:p w14:paraId="47197D60"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37EBAD6F"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941D4"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F5F4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11D13056" w14:textId="77777777" w:rsidTr="00D15A81">
        <w:trPr>
          <w:trHeight w:val="315"/>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7C79E11A"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ABDAEC9" w14:textId="6EEEE743"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2026 г.</w:t>
            </w:r>
          </w:p>
        </w:tc>
        <w:tc>
          <w:tcPr>
            <w:tcW w:w="355" w:type="pct"/>
            <w:tcBorders>
              <w:top w:val="single" w:sz="4" w:space="0" w:color="auto"/>
              <w:left w:val="nil"/>
              <w:bottom w:val="single" w:sz="4" w:space="0" w:color="auto"/>
              <w:right w:val="single" w:sz="4" w:space="0" w:color="auto"/>
            </w:tcBorders>
            <w:shd w:val="clear" w:color="auto" w:fill="auto"/>
            <w:noWrap/>
          </w:tcPr>
          <w:p w14:paraId="09E7371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tcPr>
          <w:p w14:paraId="0639B15F"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6E56439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7E6B7C33"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7C889F0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04A663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613FA072"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60FB2129"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1D34036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F725FC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2AA9FD48" w14:textId="77777777" w:rsidTr="00D15A81">
        <w:trPr>
          <w:trHeight w:val="315"/>
          <w:jc w:val="center"/>
        </w:trPr>
        <w:tc>
          <w:tcPr>
            <w:tcW w:w="140" w:type="pc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14:paraId="2137FB08"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BA626B0" w14:textId="2E54A71D"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2027 г.</w:t>
            </w:r>
          </w:p>
        </w:tc>
        <w:tc>
          <w:tcPr>
            <w:tcW w:w="355" w:type="pct"/>
            <w:tcBorders>
              <w:top w:val="nil"/>
              <w:left w:val="nil"/>
              <w:bottom w:val="single" w:sz="4" w:space="0" w:color="auto"/>
              <w:right w:val="single" w:sz="4" w:space="0" w:color="auto"/>
            </w:tcBorders>
            <w:shd w:val="clear" w:color="auto" w:fill="auto"/>
            <w:noWrap/>
          </w:tcPr>
          <w:p w14:paraId="30272467"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nil"/>
              <w:left w:val="nil"/>
              <w:bottom w:val="single" w:sz="4" w:space="0" w:color="auto"/>
              <w:right w:val="single" w:sz="4" w:space="0" w:color="auto"/>
            </w:tcBorders>
            <w:shd w:val="clear" w:color="auto" w:fill="auto"/>
            <w:noWrap/>
          </w:tcPr>
          <w:p w14:paraId="68AC3DA3"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32C5753A"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5C2EF1D5"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10006853"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7AAEF9DC"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tcPr>
          <w:p w14:paraId="25B47897"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tcPr>
          <w:p w14:paraId="17830283"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804244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nil"/>
              <w:left w:val="nil"/>
              <w:bottom w:val="single" w:sz="4" w:space="0" w:color="auto"/>
              <w:right w:val="single" w:sz="4" w:space="0" w:color="auto"/>
            </w:tcBorders>
            <w:shd w:val="clear" w:color="auto" w:fill="auto"/>
            <w:noWrap/>
            <w:vAlign w:val="center"/>
          </w:tcPr>
          <w:p w14:paraId="71F04C3F"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0DE3731E" w14:textId="77777777" w:rsidTr="00D15A81">
        <w:trPr>
          <w:trHeight w:val="315"/>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6667850"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4228801" w14:textId="73C83D3B"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2028 г.</w:t>
            </w:r>
          </w:p>
        </w:tc>
        <w:tc>
          <w:tcPr>
            <w:tcW w:w="355" w:type="pct"/>
            <w:tcBorders>
              <w:top w:val="single" w:sz="4" w:space="0" w:color="auto"/>
              <w:left w:val="nil"/>
              <w:bottom w:val="single" w:sz="4" w:space="0" w:color="auto"/>
              <w:right w:val="single" w:sz="4" w:space="0" w:color="auto"/>
            </w:tcBorders>
            <w:shd w:val="clear" w:color="auto" w:fill="auto"/>
            <w:noWrap/>
          </w:tcPr>
          <w:p w14:paraId="2BC85A44"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tcPr>
          <w:p w14:paraId="403BBC9E"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4EBFD20A"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FE99EE7"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3081D285"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7F76008B"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6CFFD898"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E25220D" w14:textId="77777777" w:rsidR="00D15A81" w:rsidRPr="00C72757" w:rsidRDefault="00D15A81" w:rsidP="00347E8D">
            <w:pPr>
              <w:spacing w:after="0" w:line="240" w:lineRule="auto"/>
              <w:jc w:val="center"/>
              <w:rPr>
                <w:rFonts w:ascii="Times New Roman" w:hAnsi="Times New Roman" w:cs="Times New Roman"/>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619816A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22AACF6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470E7EEC" w14:textId="77777777" w:rsidTr="00D15A81">
        <w:trPr>
          <w:trHeight w:val="315"/>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9C4116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1DD6009" w14:textId="6C42D855" w:rsidR="00D15A81" w:rsidRPr="00C72757" w:rsidRDefault="00D15A81" w:rsidP="00347E8D">
            <w:pPr>
              <w:spacing w:after="0" w:line="240" w:lineRule="auto"/>
              <w:rPr>
                <w:rFonts w:ascii="Times New Roman" w:hAnsi="Times New Roman" w:cs="Times New Roman"/>
                <w:b/>
                <w:bCs/>
                <w:color w:val="000000" w:themeColor="text1"/>
                <w:sz w:val="20"/>
                <w:szCs w:val="20"/>
              </w:rPr>
            </w:pPr>
            <w:r w:rsidRPr="00C72757">
              <w:rPr>
                <w:rFonts w:ascii="Times New Roman" w:hAnsi="Times New Roman" w:cs="Times New Roman"/>
                <w:b/>
                <w:bCs/>
                <w:color w:val="000000" w:themeColor="text1"/>
                <w:sz w:val="20"/>
                <w:szCs w:val="20"/>
              </w:rPr>
              <w:t>2029 г.</w:t>
            </w:r>
          </w:p>
        </w:tc>
        <w:tc>
          <w:tcPr>
            <w:tcW w:w="355" w:type="pct"/>
            <w:tcBorders>
              <w:top w:val="single" w:sz="4" w:space="0" w:color="auto"/>
              <w:left w:val="nil"/>
              <w:bottom w:val="single" w:sz="4" w:space="0" w:color="auto"/>
              <w:right w:val="single" w:sz="4" w:space="0" w:color="auto"/>
            </w:tcBorders>
            <w:shd w:val="clear" w:color="auto" w:fill="auto"/>
            <w:noWrap/>
          </w:tcPr>
          <w:p w14:paraId="44BA002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tcPr>
          <w:p w14:paraId="2EA4AB9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7E569384"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5A6637D9"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1E795447"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FA2F678"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19D628C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47E7CD5C"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2BE258E"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73B377F9"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r w:rsidR="00D15A81" w:rsidRPr="00C72757" w14:paraId="43D5EFAB" w14:textId="77777777" w:rsidTr="00D15A81">
        <w:trPr>
          <w:trHeight w:val="315"/>
          <w:jc w:val="center"/>
        </w:trPr>
        <w:tc>
          <w:tcPr>
            <w:tcW w:w="1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227FA2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763"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2B38806" w14:textId="0255EC52" w:rsidR="00D15A81" w:rsidRPr="00C72757" w:rsidRDefault="00D15A81" w:rsidP="00347E8D">
            <w:pPr>
              <w:spacing w:after="0" w:line="240" w:lineRule="auto"/>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5C762552"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501" w:type="pct"/>
            <w:tcBorders>
              <w:top w:val="single" w:sz="4" w:space="0" w:color="auto"/>
              <w:left w:val="nil"/>
              <w:bottom w:val="single" w:sz="4" w:space="0" w:color="auto"/>
              <w:right w:val="single" w:sz="4" w:space="0" w:color="auto"/>
            </w:tcBorders>
            <w:shd w:val="clear" w:color="auto" w:fill="auto"/>
            <w:noWrap/>
          </w:tcPr>
          <w:p w14:paraId="3B829E25"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1CF9C5B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3523A46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3366B47F"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0627450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tcPr>
          <w:p w14:paraId="2B8EFB2D"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tcPr>
          <w:p w14:paraId="2746AF96"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DCAD6D8"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49A11601" w14:textId="77777777" w:rsidR="00D15A81" w:rsidRPr="00C72757" w:rsidRDefault="00D15A81" w:rsidP="00347E8D">
            <w:pPr>
              <w:spacing w:after="0" w:line="240" w:lineRule="auto"/>
              <w:jc w:val="center"/>
              <w:rPr>
                <w:rFonts w:ascii="Times New Roman" w:hAnsi="Times New Roman" w:cs="Times New Roman"/>
                <w:b/>
                <w:bCs/>
                <w:color w:val="000000" w:themeColor="text1"/>
                <w:sz w:val="20"/>
                <w:szCs w:val="20"/>
              </w:rPr>
            </w:pPr>
          </w:p>
        </w:tc>
      </w:tr>
    </w:tbl>
    <w:p w14:paraId="7685BB42" w14:textId="77777777" w:rsidR="0061725A" w:rsidRDefault="0061725A" w:rsidP="0000551D">
      <w:pPr>
        <w:spacing w:before="60" w:after="60" w:line="240" w:lineRule="auto"/>
        <w:ind w:firstLine="709"/>
        <w:jc w:val="both"/>
        <w:rPr>
          <w:rFonts w:ascii="Times New Roman" w:hAnsi="Times New Roman" w:cs="Times New Roman"/>
          <w:sz w:val="24"/>
          <w:szCs w:val="24"/>
        </w:rPr>
      </w:pPr>
    </w:p>
    <w:p w14:paraId="0C617B2F" w14:textId="77777777" w:rsidR="0065184F" w:rsidRDefault="0065184F" w:rsidP="0065184F">
      <w:pPr>
        <w:spacing w:before="120" w:after="120" w:line="240" w:lineRule="auto"/>
        <w:jc w:val="center"/>
        <w:rPr>
          <w:rFonts w:ascii="Times New Roman" w:eastAsia="Times New Roman" w:hAnsi="Times New Roman" w:cs="Times New Roman"/>
          <w:b/>
          <w:color w:val="000000"/>
          <w:lang w:eastAsia="ru-RU"/>
        </w:rPr>
      </w:pPr>
      <w:r w:rsidRPr="001A2A3D">
        <w:rPr>
          <w:rFonts w:ascii="Times New Roman" w:eastAsia="Times New Roman" w:hAnsi="Times New Roman" w:cs="Times New Roman"/>
          <w:b/>
          <w:color w:val="000000"/>
          <w:lang w:eastAsia="ru-RU"/>
        </w:rPr>
        <w:t>Раздел 2 Средства софинансирования</w:t>
      </w:r>
    </w:p>
    <w:tbl>
      <w:tblPr>
        <w:tblW w:w="4757" w:type="pct"/>
        <w:tblInd w:w="108" w:type="dxa"/>
        <w:tblLook w:val="04A0" w:firstRow="1" w:lastRow="0" w:firstColumn="1" w:lastColumn="0" w:noHBand="0" w:noVBand="1"/>
      </w:tblPr>
      <w:tblGrid>
        <w:gridCol w:w="503"/>
        <w:gridCol w:w="5605"/>
        <w:gridCol w:w="2881"/>
        <w:gridCol w:w="2931"/>
        <w:gridCol w:w="1932"/>
      </w:tblGrid>
      <w:tr w:rsidR="0065184F" w:rsidRPr="00BC47FD" w14:paraId="7CB2A1CB" w14:textId="77777777" w:rsidTr="00F3029F">
        <w:trPr>
          <w:trHeight w:val="387"/>
        </w:trPr>
        <w:tc>
          <w:tcPr>
            <w:tcW w:w="197" w:type="pct"/>
            <w:vMerge w:val="restart"/>
            <w:tcBorders>
              <w:top w:val="single" w:sz="4" w:space="0" w:color="auto"/>
              <w:left w:val="single" w:sz="4" w:space="0" w:color="auto"/>
              <w:right w:val="single" w:sz="4" w:space="0" w:color="000000"/>
            </w:tcBorders>
          </w:tcPr>
          <w:p w14:paraId="568118E2" w14:textId="77777777" w:rsidR="0065184F" w:rsidRPr="00BC47FD" w:rsidRDefault="0065184F" w:rsidP="00F3029F">
            <w:pPr>
              <w:spacing w:after="0" w:line="240" w:lineRule="auto"/>
              <w:jc w:val="center"/>
              <w:rPr>
                <w:rFonts w:ascii="Times New Roman" w:eastAsia="Times New Roman" w:hAnsi="Times New Roman" w:cs="Times New Roman"/>
                <w:b/>
                <w:bCs/>
                <w:color w:val="000000"/>
                <w:sz w:val="20"/>
                <w:szCs w:val="18"/>
                <w:lang w:eastAsia="ru-RU"/>
              </w:rPr>
            </w:pPr>
            <w:r w:rsidRPr="00BC47FD">
              <w:rPr>
                <w:rFonts w:ascii="Times New Roman" w:eastAsia="Times New Roman" w:hAnsi="Times New Roman" w:cs="Times New Roman"/>
                <w:b/>
                <w:bCs/>
                <w:color w:val="000000"/>
                <w:sz w:val="20"/>
                <w:szCs w:val="18"/>
                <w:lang w:eastAsia="ru-RU"/>
              </w:rPr>
              <w:t>№ п/п</w:t>
            </w:r>
          </w:p>
        </w:tc>
        <w:tc>
          <w:tcPr>
            <w:tcW w:w="1866" w:type="pct"/>
            <w:vMerge w:val="restart"/>
            <w:tcBorders>
              <w:top w:val="single" w:sz="4" w:space="0" w:color="auto"/>
              <w:left w:val="single" w:sz="4" w:space="0" w:color="auto"/>
              <w:right w:val="single" w:sz="4" w:space="0" w:color="000000"/>
            </w:tcBorders>
            <w:shd w:val="clear" w:color="auto" w:fill="auto"/>
            <w:noWrap/>
            <w:hideMark/>
          </w:tcPr>
          <w:p w14:paraId="31A47782" w14:textId="77777777" w:rsidR="0065184F" w:rsidRPr="00BC47FD" w:rsidRDefault="0065184F" w:rsidP="00F3029F">
            <w:pPr>
              <w:spacing w:after="0" w:line="240" w:lineRule="auto"/>
              <w:jc w:val="center"/>
              <w:rPr>
                <w:rFonts w:ascii="Times New Roman" w:eastAsia="Times New Roman" w:hAnsi="Times New Roman" w:cs="Times New Roman"/>
                <w:b/>
                <w:bCs/>
                <w:color w:val="000000"/>
                <w:sz w:val="20"/>
                <w:szCs w:val="18"/>
                <w:lang w:eastAsia="ru-RU"/>
              </w:rPr>
            </w:pPr>
            <w:r w:rsidRPr="00BC47FD">
              <w:rPr>
                <w:rFonts w:ascii="Times New Roman" w:eastAsia="Times New Roman" w:hAnsi="Times New Roman" w:cs="Times New Roman"/>
                <w:b/>
                <w:bCs/>
                <w:color w:val="000000"/>
                <w:sz w:val="20"/>
                <w:szCs w:val="18"/>
                <w:lang w:eastAsia="ru-RU"/>
              </w:rPr>
              <w:t>Источники софинансирования затрат по Проекту</w:t>
            </w:r>
          </w:p>
        </w:tc>
        <w:tc>
          <w:tcPr>
            <w:tcW w:w="1171" w:type="pct"/>
            <w:vMerge w:val="restart"/>
            <w:tcBorders>
              <w:top w:val="single" w:sz="4" w:space="0" w:color="auto"/>
              <w:left w:val="nil"/>
              <w:right w:val="single" w:sz="4" w:space="0" w:color="auto"/>
            </w:tcBorders>
            <w:shd w:val="clear" w:color="auto" w:fill="auto"/>
            <w:hideMark/>
          </w:tcPr>
          <w:p w14:paraId="0D89952A"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r w:rsidRPr="00BC47FD">
              <w:rPr>
                <w:rFonts w:ascii="Times New Roman" w:eastAsia="Times New Roman" w:hAnsi="Times New Roman" w:cs="Times New Roman"/>
                <w:b/>
                <w:bCs/>
                <w:sz w:val="20"/>
                <w:szCs w:val="18"/>
                <w:lang w:eastAsia="ru-RU"/>
              </w:rPr>
              <w:t>Сумма софинансирования затрат по Проекту, осуществленного до даты заключения Договора займа</w:t>
            </w:r>
          </w:p>
        </w:tc>
        <w:tc>
          <w:tcPr>
            <w:tcW w:w="1131" w:type="pct"/>
            <w:vMerge w:val="restart"/>
            <w:tcBorders>
              <w:top w:val="single" w:sz="4" w:space="0" w:color="auto"/>
              <w:left w:val="nil"/>
              <w:right w:val="single" w:sz="4" w:space="0" w:color="000000"/>
            </w:tcBorders>
            <w:shd w:val="clear" w:color="auto" w:fill="auto"/>
          </w:tcPr>
          <w:p w14:paraId="722C250D"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r w:rsidRPr="00BC47FD">
              <w:rPr>
                <w:rFonts w:ascii="Times New Roman" w:eastAsia="Times New Roman" w:hAnsi="Times New Roman" w:cs="Times New Roman"/>
                <w:b/>
                <w:bCs/>
                <w:sz w:val="20"/>
                <w:szCs w:val="18"/>
                <w:lang w:eastAsia="ru-RU"/>
              </w:rPr>
              <w:t>Сумма софинансирования затрат по Проекту, планируемого после даты заключения Договора займа</w:t>
            </w:r>
          </w:p>
        </w:tc>
        <w:tc>
          <w:tcPr>
            <w:tcW w:w="635" w:type="pct"/>
            <w:tcBorders>
              <w:top w:val="single" w:sz="4" w:space="0" w:color="auto"/>
              <w:left w:val="nil"/>
              <w:right w:val="single" w:sz="4" w:space="0" w:color="auto"/>
            </w:tcBorders>
            <w:shd w:val="clear" w:color="auto" w:fill="auto"/>
          </w:tcPr>
          <w:p w14:paraId="229657CA"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r w:rsidRPr="00BC47FD">
              <w:rPr>
                <w:rFonts w:ascii="Times New Roman" w:eastAsia="Times New Roman" w:hAnsi="Times New Roman" w:cs="Times New Roman"/>
                <w:b/>
                <w:bCs/>
                <w:sz w:val="20"/>
                <w:szCs w:val="18"/>
                <w:lang w:eastAsia="ru-RU"/>
              </w:rPr>
              <w:t>ИТОГО софинансирование затрат по проекту</w:t>
            </w:r>
          </w:p>
        </w:tc>
      </w:tr>
      <w:tr w:rsidR="0065184F" w:rsidRPr="00BC47FD" w14:paraId="031225AA" w14:textId="77777777" w:rsidTr="00F3029F">
        <w:trPr>
          <w:trHeight w:val="421"/>
        </w:trPr>
        <w:tc>
          <w:tcPr>
            <w:tcW w:w="197" w:type="pct"/>
            <w:vMerge/>
            <w:tcBorders>
              <w:left w:val="single" w:sz="4" w:space="0" w:color="auto"/>
              <w:bottom w:val="single" w:sz="4" w:space="0" w:color="auto"/>
              <w:right w:val="single" w:sz="4" w:space="0" w:color="000000"/>
            </w:tcBorders>
          </w:tcPr>
          <w:p w14:paraId="6BF5D889" w14:textId="77777777" w:rsidR="0065184F" w:rsidRPr="00BC47FD" w:rsidRDefault="0065184F" w:rsidP="00F3029F">
            <w:pPr>
              <w:spacing w:after="0" w:line="240" w:lineRule="auto"/>
              <w:jc w:val="center"/>
              <w:rPr>
                <w:rFonts w:ascii="Times New Roman" w:eastAsia="Times New Roman" w:hAnsi="Times New Roman" w:cs="Times New Roman"/>
                <w:b/>
                <w:bCs/>
                <w:color w:val="000000"/>
                <w:sz w:val="20"/>
                <w:szCs w:val="18"/>
                <w:lang w:eastAsia="ru-RU"/>
              </w:rPr>
            </w:pPr>
          </w:p>
        </w:tc>
        <w:tc>
          <w:tcPr>
            <w:tcW w:w="1866" w:type="pct"/>
            <w:vMerge/>
            <w:tcBorders>
              <w:left w:val="single" w:sz="4" w:space="0" w:color="auto"/>
              <w:bottom w:val="single" w:sz="4" w:space="0" w:color="auto"/>
              <w:right w:val="single" w:sz="4" w:space="0" w:color="000000"/>
            </w:tcBorders>
            <w:shd w:val="clear" w:color="auto" w:fill="auto"/>
            <w:noWrap/>
          </w:tcPr>
          <w:p w14:paraId="51810045" w14:textId="77777777" w:rsidR="0065184F" w:rsidRPr="00BC47FD" w:rsidRDefault="0065184F" w:rsidP="00F3029F">
            <w:pPr>
              <w:spacing w:after="0" w:line="240" w:lineRule="auto"/>
              <w:jc w:val="center"/>
              <w:rPr>
                <w:rFonts w:ascii="Times New Roman" w:eastAsia="Times New Roman" w:hAnsi="Times New Roman" w:cs="Times New Roman"/>
                <w:b/>
                <w:bCs/>
                <w:color w:val="000000"/>
                <w:sz w:val="20"/>
                <w:szCs w:val="18"/>
                <w:lang w:eastAsia="ru-RU"/>
              </w:rPr>
            </w:pPr>
          </w:p>
        </w:tc>
        <w:tc>
          <w:tcPr>
            <w:tcW w:w="1171" w:type="pct"/>
            <w:vMerge/>
            <w:tcBorders>
              <w:left w:val="nil"/>
              <w:bottom w:val="single" w:sz="4" w:space="0" w:color="auto"/>
              <w:right w:val="single" w:sz="4" w:space="0" w:color="auto"/>
            </w:tcBorders>
            <w:shd w:val="clear" w:color="auto" w:fill="auto"/>
          </w:tcPr>
          <w:p w14:paraId="5CF444AF"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p>
        </w:tc>
        <w:tc>
          <w:tcPr>
            <w:tcW w:w="1131" w:type="pct"/>
            <w:vMerge/>
            <w:tcBorders>
              <w:left w:val="nil"/>
              <w:bottom w:val="single" w:sz="4" w:space="0" w:color="auto"/>
              <w:right w:val="single" w:sz="4" w:space="0" w:color="000000"/>
            </w:tcBorders>
            <w:shd w:val="clear" w:color="auto" w:fill="auto"/>
          </w:tcPr>
          <w:p w14:paraId="21FBE3D0"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p>
        </w:tc>
        <w:tc>
          <w:tcPr>
            <w:tcW w:w="635" w:type="pct"/>
            <w:tcBorders>
              <w:left w:val="single" w:sz="4" w:space="0" w:color="000000"/>
              <w:bottom w:val="single" w:sz="4" w:space="0" w:color="auto"/>
              <w:right w:val="single" w:sz="4" w:space="0" w:color="auto"/>
            </w:tcBorders>
            <w:shd w:val="clear" w:color="auto" w:fill="auto"/>
          </w:tcPr>
          <w:p w14:paraId="575F6E2A"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p>
        </w:tc>
      </w:tr>
      <w:tr w:rsidR="0065184F" w:rsidRPr="00BC47FD" w14:paraId="6D8B01B6" w14:textId="77777777" w:rsidTr="00F3029F">
        <w:trPr>
          <w:trHeight w:val="130"/>
        </w:trPr>
        <w:tc>
          <w:tcPr>
            <w:tcW w:w="197" w:type="pct"/>
            <w:tcBorders>
              <w:top w:val="single" w:sz="4" w:space="0" w:color="auto"/>
              <w:left w:val="single" w:sz="4" w:space="0" w:color="auto"/>
              <w:bottom w:val="single" w:sz="4" w:space="0" w:color="auto"/>
              <w:right w:val="single" w:sz="4" w:space="0" w:color="000000"/>
            </w:tcBorders>
          </w:tcPr>
          <w:p w14:paraId="6A3BAD84" w14:textId="77777777" w:rsidR="0065184F" w:rsidRPr="00BC47FD" w:rsidRDefault="0065184F" w:rsidP="00F3029F">
            <w:pPr>
              <w:spacing w:after="0" w:line="240" w:lineRule="auto"/>
              <w:jc w:val="center"/>
              <w:rPr>
                <w:rFonts w:ascii="Times New Roman" w:eastAsia="Times New Roman" w:hAnsi="Times New Roman" w:cs="Times New Roman"/>
                <w:bCs/>
                <w:color w:val="000000"/>
                <w:sz w:val="20"/>
                <w:szCs w:val="18"/>
                <w:lang w:eastAsia="ru-RU"/>
              </w:rPr>
            </w:pPr>
            <w:r w:rsidRPr="00BC47FD">
              <w:rPr>
                <w:rFonts w:ascii="Times New Roman" w:eastAsia="Times New Roman" w:hAnsi="Times New Roman" w:cs="Times New Roman"/>
                <w:bCs/>
                <w:color w:val="000000"/>
                <w:sz w:val="20"/>
                <w:szCs w:val="18"/>
                <w:lang w:eastAsia="ru-RU"/>
              </w:rPr>
              <w:t>1</w:t>
            </w:r>
          </w:p>
        </w:tc>
        <w:tc>
          <w:tcPr>
            <w:tcW w:w="1866"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0E7C9B18" w14:textId="77777777" w:rsidR="0065184F" w:rsidRPr="00BC47FD" w:rsidRDefault="0065184F" w:rsidP="00F3029F">
            <w:pPr>
              <w:spacing w:after="0" w:line="240" w:lineRule="auto"/>
              <w:rPr>
                <w:rFonts w:ascii="Times New Roman" w:eastAsia="Times New Roman" w:hAnsi="Times New Roman" w:cs="Times New Roman"/>
                <w:b/>
                <w:bCs/>
                <w:color w:val="000000"/>
                <w:sz w:val="20"/>
                <w:szCs w:val="18"/>
                <w:lang w:eastAsia="ru-RU"/>
              </w:rPr>
            </w:pPr>
            <w:r w:rsidRPr="00BC47FD">
              <w:rPr>
                <w:rFonts w:ascii="Times New Roman" w:eastAsia="Times New Roman" w:hAnsi="Times New Roman" w:cs="Times New Roman"/>
                <w:color w:val="000000"/>
                <w:sz w:val="20"/>
                <w:szCs w:val="18"/>
                <w:lang w:eastAsia="ru-RU"/>
              </w:rPr>
              <w:t>Собственные средства Заемщика</w:t>
            </w:r>
          </w:p>
        </w:tc>
        <w:tc>
          <w:tcPr>
            <w:tcW w:w="1171" w:type="pct"/>
            <w:tcBorders>
              <w:top w:val="single" w:sz="4" w:space="0" w:color="auto"/>
              <w:left w:val="nil"/>
              <w:bottom w:val="single" w:sz="4" w:space="0" w:color="auto"/>
              <w:right w:val="single" w:sz="4" w:space="0" w:color="auto"/>
            </w:tcBorders>
            <w:shd w:val="clear" w:color="auto" w:fill="auto"/>
            <w:noWrap/>
            <w:vAlign w:val="bottom"/>
          </w:tcPr>
          <w:p w14:paraId="5D568EAE" w14:textId="77777777" w:rsidR="0065184F" w:rsidRPr="00BC47FD" w:rsidRDefault="0065184F" w:rsidP="00F3029F">
            <w:pPr>
              <w:spacing w:after="0" w:line="240" w:lineRule="auto"/>
              <w:jc w:val="center"/>
              <w:rPr>
                <w:rFonts w:ascii="Times New Roman" w:eastAsia="Times New Roman" w:hAnsi="Times New Roman" w:cs="Times New Roman"/>
                <w:bCs/>
                <w:sz w:val="20"/>
                <w:szCs w:val="18"/>
                <w:lang w:eastAsia="ru-RU"/>
              </w:rPr>
            </w:pP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5CAC946F" w14:textId="77777777" w:rsidR="0065184F" w:rsidRPr="00BC47FD" w:rsidRDefault="0065184F" w:rsidP="00F3029F">
            <w:pPr>
              <w:spacing w:after="0" w:line="240" w:lineRule="auto"/>
              <w:jc w:val="center"/>
              <w:rPr>
                <w:rFonts w:ascii="Times New Roman" w:eastAsia="Times New Roman" w:hAnsi="Times New Roman" w:cs="Times New Roman"/>
                <w:sz w:val="20"/>
                <w:szCs w:val="18"/>
                <w:lang w:eastAsia="ru-RU"/>
              </w:rPr>
            </w:pPr>
          </w:p>
        </w:tc>
        <w:tc>
          <w:tcPr>
            <w:tcW w:w="635" w:type="pct"/>
            <w:tcBorders>
              <w:top w:val="nil"/>
              <w:left w:val="nil"/>
              <w:bottom w:val="single" w:sz="4" w:space="0" w:color="auto"/>
              <w:right w:val="single" w:sz="4" w:space="0" w:color="auto"/>
            </w:tcBorders>
            <w:shd w:val="clear" w:color="auto" w:fill="auto"/>
            <w:noWrap/>
            <w:vAlign w:val="bottom"/>
          </w:tcPr>
          <w:p w14:paraId="63C73D64"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r>
      <w:tr w:rsidR="0065184F" w:rsidRPr="00BC47FD" w14:paraId="7BD168B1" w14:textId="77777777" w:rsidTr="00F3029F">
        <w:trPr>
          <w:trHeight w:val="189"/>
        </w:trPr>
        <w:tc>
          <w:tcPr>
            <w:tcW w:w="197" w:type="pct"/>
            <w:tcBorders>
              <w:top w:val="single" w:sz="4" w:space="0" w:color="auto"/>
              <w:left w:val="single" w:sz="4" w:space="0" w:color="auto"/>
              <w:bottom w:val="single" w:sz="4" w:space="0" w:color="auto"/>
              <w:right w:val="single" w:sz="4" w:space="0" w:color="000000"/>
            </w:tcBorders>
          </w:tcPr>
          <w:p w14:paraId="08CDA1E6" w14:textId="77777777" w:rsidR="0065184F" w:rsidRPr="00BC47FD" w:rsidRDefault="0065184F" w:rsidP="00F3029F">
            <w:pPr>
              <w:spacing w:after="0" w:line="240" w:lineRule="auto"/>
              <w:jc w:val="center"/>
              <w:rPr>
                <w:rFonts w:ascii="Times New Roman" w:eastAsia="Times New Roman" w:hAnsi="Times New Roman" w:cs="Times New Roman"/>
                <w:color w:val="000000"/>
                <w:sz w:val="20"/>
                <w:szCs w:val="18"/>
                <w:lang w:eastAsia="ru-RU"/>
              </w:rPr>
            </w:pPr>
            <w:r w:rsidRPr="00BC47FD">
              <w:rPr>
                <w:rFonts w:ascii="Times New Roman" w:eastAsia="Times New Roman" w:hAnsi="Times New Roman" w:cs="Times New Roman"/>
                <w:color w:val="000000"/>
                <w:sz w:val="20"/>
                <w:szCs w:val="18"/>
                <w:lang w:eastAsia="ru-RU"/>
              </w:rPr>
              <w:t>2</w:t>
            </w:r>
          </w:p>
        </w:tc>
        <w:tc>
          <w:tcPr>
            <w:tcW w:w="1866"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3C8B4EB" w14:textId="77777777" w:rsidR="0065184F" w:rsidRPr="00BC47FD" w:rsidRDefault="0065184F" w:rsidP="00F3029F">
            <w:pPr>
              <w:spacing w:after="0" w:line="240" w:lineRule="auto"/>
              <w:rPr>
                <w:rFonts w:ascii="Times New Roman" w:eastAsia="Times New Roman" w:hAnsi="Times New Roman" w:cs="Times New Roman"/>
                <w:color w:val="000000"/>
                <w:sz w:val="20"/>
                <w:szCs w:val="18"/>
                <w:lang w:eastAsia="ru-RU"/>
              </w:rPr>
            </w:pPr>
            <w:r w:rsidRPr="00BC47FD">
              <w:rPr>
                <w:rFonts w:ascii="Times New Roman" w:eastAsia="Times New Roman" w:hAnsi="Times New Roman" w:cs="Times New Roman"/>
                <w:color w:val="000000"/>
                <w:sz w:val="20"/>
                <w:szCs w:val="18"/>
                <w:lang w:eastAsia="ru-RU"/>
              </w:rPr>
              <w:t>Средства аффилированных лиц и/или бенефициаров Заемщика</w:t>
            </w:r>
          </w:p>
        </w:tc>
        <w:tc>
          <w:tcPr>
            <w:tcW w:w="1171" w:type="pct"/>
            <w:tcBorders>
              <w:top w:val="single" w:sz="4" w:space="0" w:color="auto"/>
              <w:left w:val="nil"/>
              <w:bottom w:val="single" w:sz="4" w:space="0" w:color="auto"/>
              <w:right w:val="single" w:sz="4" w:space="0" w:color="auto"/>
            </w:tcBorders>
            <w:shd w:val="clear" w:color="auto" w:fill="auto"/>
            <w:noWrap/>
            <w:vAlign w:val="bottom"/>
          </w:tcPr>
          <w:p w14:paraId="55D17655"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5FB58859" w14:textId="77777777" w:rsidR="0065184F" w:rsidRPr="00BC47FD" w:rsidRDefault="0065184F" w:rsidP="00F3029F">
            <w:pPr>
              <w:spacing w:after="0" w:line="240" w:lineRule="auto"/>
              <w:jc w:val="center"/>
              <w:rPr>
                <w:rFonts w:ascii="Times New Roman" w:eastAsia="Times New Roman" w:hAnsi="Times New Roman" w:cs="Times New Roman"/>
                <w:sz w:val="20"/>
                <w:szCs w:val="18"/>
                <w:lang w:eastAsia="ru-RU"/>
              </w:rPr>
            </w:pPr>
          </w:p>
        </w:tc>
        <w:tc>
          <w:tcPr>
            <w:tcW w:w="635" w:type="pct"/>
            <w:tcBorders>
              <w:top w:val="nil"/>
              <w:left w:val="nil"/>
              <w:bottom w:val="single" w:sz="4" w:space="0" w:color="auto"/>
              <w:right w:val="single" w:sz="4" w:space="0" w:color="auto"/>
            </w:tcBorders>
            <w:shd w:val="clear" w:color="auto" w:fill="auto"/>
            <w:noWrap/>
            <w:vAlign w:val="bottom"/>
          </w:tcPr>
          <w:p w14:paraId="523CA6A2"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r>
      <w:tr w:rsidR="0065184F" w:rsidRPr="00BC47FD" w14:paraId="11F149EA" w14:textId="77777777" w:rsidTr="00F3029F">
        <w:trPr>
          <w:trHeight w:val="122"/>
        </w:trPr>
        <w:tc>
          <w:tcPr>
            <w:tcW w:w="197" w:type="pct"/>
            <w:tcBorders>
              <w:top w:val="single" w:sz="4" w:space="0" w:color="auto"/>
              <w:left w:val="single" w:sz="4" w:space="0" w:color="auto"/>
              <w:bottom w:val="single" w:sz="4" w:space="0" w:color="auto"/>
              <w:right w:val="single" w:sz="4" w:space="0" w:color="000000"/>
            </w:tcBorders>
          </w:tcPr>
          <w:p w14:paraId="2BAA5852" w14:textId="77777777" w:rsidR="0065184F" w:rsidRPr="00BC47FD" w:rsidRDefault="0065184F" w:rsidP="00F3029F">
            <w:pPr>
              <w:spacing w:after="0" w:line="240" w:lineRule="auto"/>
              <w:jc w:val="center"/>
              <w:rPr>
                <w:rFonts w:ascii="Times New Roman" w:eastAsia="Times New Roman" w:hAnsi="Times New Roman" w:cs="Times New Roman"/>
                <w:color w:val="000000"/>
                <w:sz w:val="20"/>
                <w:szCs w:val="18"/>
                <w:lang w:eastAsia="ru-RU"/>
              </w:rPr>
            </w:pPr>
            <w:r w:rsidRPr="00BC47FD">
              <w:rPr>
                <w:rFonts w:ascii="Times New Roman" w:eastAsia="Times New Roman" w:hAnsi="Times New Roman" w:cs="Times New Roman"/>
                <w:color w:val="000000"/>
                <w:sz w:val="20"/>
                <w:szCs w:val="18"/>
                <w:lang w:eastAsia="ru-RU"/>
              </w:rPr>
              <w:t>3</w:t>
            </w:r>
          </w:p>
        </w:tc>
        <w:tc>
          <w:tcPr>
            <w:tcW w:w="1866"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410B0BBE" w14:textId="77777777" w:rsidR="0065184F" w:rsidRPr="00BC47FD" w:rsidRDefault="0065184F" w:rsidP="00F3029F">
            <w:pPr>
              <w:spacing w:after="0" w:line="240" w:lineRule="auto"/>
              <w:rPr>
                <w:rFonts w:ascii="Times New Roman" w:eastAsia="Times New Roman" w:hAnsi="Times New Roman" w:cs="Times New Roman"/>
                <w:color w:val="000000"/>
                <w:sz w:val="20"/>
                <w:szCs w:val="18"/>
                <w:lang w:eastAsia="ru-RU"/>
              </w:rPr>
            </w:pPr>
            <w:r w:rsidRPr="00BC47FD">
              <w:rPr>
                <w:rFonts w:ascii="Times New Roman" w:eastAsia="Times New Roman" w:hAnsi="Times New Roman" w:cs="Times New Roman"/>
                <w:color w:val="000000"/>
                <w:sz w:val="20"/>
                <w:szCs w:val="18"/>
                <w:lang w:eastAsia="ru-RU"/>
              </w:rPr>
              <w:t>Средства иных частных инвесторов и/или кредиты банков</w:t>
            </w:r>
          </w:p>
        </w:tc>
        <w:tc>
          <w:tcPr>
            <w:tcW w:w="1171" w:type="pct"/>
            <w:tcBorders>
              <w:top w:val="single" w:sz="4" w:space="0" w:color="auto"/>
              <w:left w:val="nil"/>
              <w:bottom w:val="single" w:sz="4" w:space="0" w:color="auto"/>
              <w:right w:val="single" w:sz="4" w:space="0" w:color="auto"/>
            </w:tcBorders>
            <w:shd w:val="clear" w:color="auto" w:fill="auto"/>
            <w:noWrap/>
            <w:vAlign w:val="bottom"/>
          </w:tcPr>
          <w:p w14:paraId="5FCE5C93" w14:textId="77777777" w:rsidR="0065184F" w:rsidRPr="00BC47FD" w:rsidRDefault="0065184F" w:rsidP="00F3029F">
            <w:pPr>
              <w:spacing w:after="0" w:line="240" w:lineRule="auto"/>
              <w:jc w:val="center"/>
              <w:rPr>
                <w:rFonts w:ascii="Times New Roman" w:eastAsia="Times New Roman" w:hAnsi="Times New Roman" w:cs="Times New Roman"/>
                <w:b/>
                <w:bCs/>
                <w:sz w:val="20"/>
                <w:szCs w:val="18"/>
                <w:lang w:eastAsia="ru-RU"/>
              </w:rPr>
            </w:pP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0AC26A78" w14:textId="77777777" w:rsidR="0065184F" w:rsidRPr="00BC47FD" w:rsidRDefault="0065184F" w:rsidP="00F3029F">
            <w:pPr>
              <w:spacing w:after="0" w:line="240" w:lineRule="auto"/>
              <w:jc w:val="center"/>
              <w:rPr>
                <w:rFonts w:ascii="Times New Roman" w:eastAsia="Times New Roman" w:hAnsi="Times New Roman" w:cs="Times New Roman"/>
                <w:sz w:val="20"/>
                <w:szCs w:val="18"/>
                <w:lang w:eastAsia="ru-RU"/>
              </w:rPr>
            </w:pPr>
          </w:p>
        </w:tc>
        <w:tc>
          <w:tcPr>
            <w:tcW w:w="635" w:type="pct"/>
            <w:tcBorders>
              <w:top w:val="nil"/>
              <w:left w:val="nil"/>
              <w:bottom w:val="single" w:sz="4" w:space="0" w:color="auto"/>
              <w:right w:val="single" w:sz="4" w:space="0" w:color="auto"/>
            </w:tcBorders>
            <w:shd w:val="clear" w:color="auto" w:fill="auto"/>
            <w:noWrap/>
            <w:vAlign w:val="bottom"/>
          </w:tcPr>
          <w:p w14:paraId="5F7B22C2"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r>
      <w:tr w:rsidR="0065184F" w:rsidRPr="00BC47FD" w14:paraId="20CA0DC6" w14:textId="77777777" w:rsidTr="00F3029F">
        <w:trPr>
          <w:trHeight w:val="182"/>
        </w:trPr>
        <w:tc>
          <w:tcPr>
            <w:tcW w:w="197" w:type="pct"/>
            <w:tcBorders>
              <w:top w:val="single" w:sz="4" w:space="0" w:color="auto"/>
              <w:left w:val="single" w:sz="4" w:space="0" w:color="auto"/>
              <w:bottom w:val="single" w:sz="4" w:space="0" w:color="auto"/>
              <w:right w:val="single" w:sz="4" w:space="0" w:color="000000"/>
            </w:tcBorders>
          </w:tcPr>
          <w:p w14:paraId="70AD5CE3" w14:textId="77777777" w:rsidR="0065184F" w:rsidRPr="00BC47FD" w:rsidRDefault="0065184F" w:rsidP="00F3029F">
            <w:pPr>
              <w:spacing w:after="0" w:line="240" w:lineRule="auto"/>
              <w:jc w:val="center"/>
              <w:rPr>
                <w:rFonts w:ascii="Times New Roman" w:eastAsia="Times New Roman" w:hAnsi="Times New Roman" w:cs="Times New Roman"/>
                <w:color w:val="000000"/>
                <w:sz w:val="20"/>
                <w:szCs w:val="18"/>
                <w:lang w:eastAsia="ru-RU"/>
              </w:rPr>
            </w:pPr>
          </w:p>
        </w:tc>
        <w:tc>
          <w:tcPr>
            <w:tcW w:w="186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16A39" w14:textId="77777777" w:rsidR="0065184F" w:rsidRPr="00BC47FD" w:rsidRDefault="0065184F" w:rsidP="00F3029F">
            <w:pPr>
              <w:spacing w:after="0" w:line="240" w:lineRule="auto"/>
              <w:rPr>
                <w:rFonts w:ascii="Times New Roman" w:eastAsia="Times New Roman" w:hAnsi="Times New Roman" w:cs="Times New Roman"/>
                <w:color w:val="000000"/>
                <w:sz w:val="20"/>
                <w:szCs w:val="18"/>
                <w:lang w:eastAsia="ru-RU"/>
              </w:rPr>
            </w:pPr>
            <w:r w:rsidRPr="00BC47FD">
              <w:rPr>
                <w:rFonts w:ascii="Times New Roman" w:eastAsia="Times New Roman" w:hAnsi="Times New Roman" w:cs="Times New Roman"/>
                <w:color w:val="000000"/>
                <w:sz w:val="20"/>
                <w:szCs w:val="18"/>
                <w:lang w:eastAsia="ru-RU"/>
              </w:rPr>
              <w:t>Итого средств софинансирования</w:t>
            </w:r>
          </w:p>
        </w:tc>
        <w:tc>
          <w:tcPr>
            <w:tcW w:w="1171" w:type="pct"/>
            <w:tcBorders>
              <w:top w:val="single" w:sz="4" w:space="0" w:color="auto"/>
              <w:left w:val="nil"/>
              <w:bottom w:val="single" w:sz="4" w:space="0" w:color="auto"/>
              <w:right w:val="single" w:sz="4" w:space="0" w:color="auto"/>
            </w:tcBorders>
            <w:shd w:val="clear" w:color="auto" w:fill="auto"/>
            <w:noWrap/>
          </w:tcPr>
          <w:p w14:paraId="0DE4ECFE"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c>
          <w:tcPr>
            <w:tcW w:w="1131" w:type="pct"/>
            <w:tcBorders>
              <w:top w:val="single" w:sz="4" w:space="0" w:color="auto"/>
              <w:left w:val="nil"/>
              <w:bottom w:val="single" w:sz="4" w:space="0" w:color="auto"/>
              <w:right w:val="single" w:sz="4" w:space="0" w:color="auto"/>
            </w:tcBorders>
            <w:shd w:val="clear" w:color="auto" w:fill="auto"/>
            <w:noWrap/>
          </w:tcPr>
          <w:p w14:paraId="22648F69"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c>
          <w:tcPr>
            <w:tcW w:w="635" w:type="pct"/>
            <w:tcBorders>
              <w:top w:val="nil"/>
              <w:left w:val="nil"/>
              <w:bottom w:val="single" w:sz="4" w:space="0" w:color="auto"/>
              <w:right w:val="single" w:sz="4" w:space="0" w:color="auto"/>
            </w:tcBorders>
            <w:shd w:val="clear" w:color="auto" w:fill="auto"/>
            <w:noWrap/>
          </w:tcPr>
          <w:p w14:paraId="06DE7F66" w14:textId="77777777" w:rsidR="0065184F" w:rsidRPr="00BC47FD" w:rsidRDefault="0065184F" w:rsidP="00F3029F">
            <w:pPr>
              <w:spacing w:after="0" w:line="240" w:lineRule="auto"/>
              <w:jc w:val="center"/>
              <w:rPr>
                <w:rFonts w:ascii="Times New Roman" w:eastAsia="Times New Roman" w:hAnsi="Times New Roman" w:cs="Times New Roman"/>
                <w:b/>
                <w:sz w:val="20"/>
                <w:szCs w:val="18"/>
                <w:lang w:eastAsia="ru-RU"/>
              </w:rPr>
            </w:pPr>
          </w:p>
        </w:tc>
      </w:tr>
    </w:tbl>
    <w:p w14:paraId="027F34BB" w14:textId="77777777" w:rsidR="0065184F" w:rsidRDefault="0065184F" w:rsidP="0065184F">
      <w:pPr>
        <w:spacing w:after="0" w:line="240" w:lineRule="auto"/>
        <w:rPr>
          <w:rFonts w:ascii="Arial" w:eastAsia="Times New Roman" w:hAnsi="Arial" w:cs="Arial"/>
          <w:bCs/>
          <w:color w:val="000000"/>
          <w:lang w:eastAsia="ru-RU"/>
        </w:rPr>
      </w:pPr>
    </w:p>
    <w:p w14:paraId="1BC37E70" w14:textId="77777777" w:rsidR="008C6ABF" w:rsidRDefault="008C6ABF" w:rsidP="0065184F">
      <w:pPr>
        <w:sectPr w:rsidR="008C6ABF" w:rsidSect="008C6ABF">
          <w:pgSz w:w="16838" w:h="11906" w:orient="landscape"/>
          <w:pgMar w:top="1134" w:right="1134" w:bottom="567" w:left="1134" w:header="708" w:footer="708" w:gutter="0"/>
          <w:cols w:space="708"/>
          <w:titlePg/>
          <w:docGrid w:linePitch="360"/>
        </w:sectPr>
      </w:pPr>
    </w:p>
    <w:p w14:paraId="048C1554" w14:textId="564C301D" w:rsidR="0000551D" w:rsidRPr="00D42D53" w:rsidRDefault="0000551D" w:rsidP="0011614A">
      <w:pPr>
        <w:pStyle w:val="a7"/>
        <w:shd w:val="clear" w:color="auto" w:fill="088DBC"/>
        <w:spacing w:before="60" w:after="60" w:line="240" w:lineRule="auto"/>
        <w:ind w:left="1069"/>
        <w:rPr>
          <w:rFonts w:ascii="Times New Roman" w:hAnsi="Times New Roman" w:cs="Times New Roman"/>
          <w:b/>
          <w:bCs/>
          <w:sz w:val="28"/>
          <w:szCs w:val="28"/>
        </w:rPr>
      </w:pPr>
      <w:r w:rsidRPr="00D42D53">
        <w:rPr>
          <w:rFonts w:ascii="Times New Roman" w:hAnsi="Times New Roman" w:cs="Times New Roman"/>
          <w:b/>
          <w:bCs/>
          <w:sz w:val="28"/>
          <w:szCs w:val="28"/>
        </w:rPr>
        <w:t>Общие правила к заполнению сметы</w:t>
      </w:r>
    </w:p>
    <w:p w14:paraId="5E2B9322" w14:textId="77777777" w:rsidR="0000551D" w:rsidRPr="0011614A" w:rsidRDefault="0000551D" w:rsidP="0000551D">
      <w:pPr>
        <w:spacing w:before="60" w:after="60" w:line="240" w:lineRule="auto"/>
        <w:ind w:firstLine="709"/>
        <w:jc w:val="both"/>
        <w:rPr>
          <w:rFonts w:ascii="Times New Roman" w:hAnsi="Times New Roman" w:cs="Times New Roman"/>
          <w:bCs/>
          <w:sz w:val="24"/>
          <w:szCs w:val="24"/>
        </w:rPr>
      </w:pPr>
      <w:r w:rsidRPr="0011614A">
        <w:rPr>
          <w:rFonts w:ascii="Times New Roman" w:hAnsi="Times New Roman" w:cs="Times New Roman"/>
          <w:bCs/>
          <w:sz w:val="24"/>
          <w:szCs w:val="24"/>
        </w:rPr>
        <w:t>Формат Сметы проекта предусматривает разнесение всех расходов:</w:t>
      </w:r>
    </w:p>
    <w:p w14:paraId="48B85A17" w14:textId="03219C9B" w:rsidR="0000551D" w:rsidRPr="006B5D48" w:rsidRDefault="0000551D" w:rsidP="006B5D48">
      <w:pPr>
        <w:pStyle w:val="a7"/>
        <w:numPr>
          <w:ilvl w:val="0"/>
          <w:numId w:val="3"/>
        </w:numPr>
        <w:spacing w:before="60" w:after="60" w:line="240" w:lineRule="auto"/>
        <w:jc w:val="both"/>
        <w:rPr>
          <w:rFonts w:ascii="Times New Roman" w:hAnsi="Times New Roman" w:cs="Times New Roman"/>
          <w:sz w:val="24"/>
          <w:szCs w:val="24"/>
        </w:rPr>
      </w:pPr>
      <w:r w:rsidRPr="006B5D48">
        <w:rPr>
          <w:rFonts w:ascii="Times New Roman" w:hAnsi="Times New Roman" w:cs="Times New Roman"/>
          <w:sz w:val="24"/>
          <w:szCs w:val="24"/>
        </w:rPr>
        <w:t>По горизонтальным строкам - Направления целевого использования средств,</w:t>
      </w:r>
    </w:p>
    <w:p w14:paraId="6364FCEB" w14:textId="5724F88A" w:rsidR="0000551D" w:rsidRPr="006B5D48" w:rsidRDefault="0000551D" w:rsidP="006B5D48">
      <w:pPr>
        <w:pStyle w:val="a7"/>
        <w:numPr>
          <w:ilvl w:val="0"/>
          <w:numId w:val="3"/>
        </w:numPr>
        <w:spacing w:before="60" w:after="60" w:line="240" w:lineRule="auto"/>
        <w:jc w:val="both"/>
        <w:rPr>
          <w:rFonts w:ascii="Times New Roman" w:hAnsi="Times New Roman" w:cs="Times New Roman"/>
          <w:sz w:val="24"/>
          <w:szCs w:val="24"/>
        </w:rPr>
      </w:pPr>
      <w:r w:rsidRPr="006B5D48">
        <w:rPr>
          <w:rFonts w:ascii="Times New Roman" w:hAnsi="Times New Roman" w:cs="Times New Roman"/>
          <w:sz w:val="24"/>
          <w:szCs w:val="24"/>
        </w:rPr>
        <w:t>По вертикали - Виды затрат внутри каждого направления расходования средств.</w:t>
      </w:r>
    </w:p>
    <w:p w14:paraId="4C2F796B" w14:textId="69C89C67" w:rsidR="00A33E5E" w:rsidRPr="00A33E5E" w:rsidRDefault="0000551D" w:rsidP="00C800F1">
      <w:pPr>
        <w:spacing w:before="60" w:after="60" w:line="240" w:lineRule="auto"/>
        <w:ind w:firstLine="709"/>
        <w:jc w:val="both"/>
        <w:rPr>
          <w:rFonts w:ascii="Times New Roman" w:hAnsi="Times New Roman" w:cs="Times New Roman"/>
          <w:sz w:val="24"/>
          <w:szCs w:val="24"/>
        </w:rPr>
      </w:pPr>
      <w:r w:rsidRPr="0000551D">
        <w:rPr>
          <w:rFonts w:ascii="Times New Roman" w:hAnsi="Times New Roman" w:cs="Times New Roman"/>
          <w:sz w:val="24"/>
          <w:szCs w:val="24"/>
        </w:rPr>
        <w:t xml:space="preserve">Расходы, которые могут быть запланированы Вами за счет средств займа, отражаются в незаполненных полях Сметы. </w:t>
      </w:r>
      <w:r w:rsidR="00C800F1" w:rsidRPr="00C800F1">
        <w:rPr>
          <w:rFonts w:ascii="Times New Roman" w:hAnsi="Times New Roman" w:cs="Times New Roman"/>
          <w:sz w:val="24"/>
          <w:szCs w:val="24"/>
        </w:rPr>
        <w:t>Если поле помечено в Смете значком "х", то финансирование таких расходов возможно</w:t>
      </w:r>
      <w:r w:rsidR="00C800F1">
        <w:rPr>
          <w:rFonts w:ascii="Times New Roman" w:hAnsi="Times New Roman" w:cs="Times New Roman"/>
          <w:sz w:val="24"/>
          <w:szCs w:val="24"/>
        </w:rPr>
        <w:t xml:space="preserve"> только за счет средств софинан</w:t>
      </w:r>
      <w:r w:rsidR="00C800F1" w:rsidRPr="00C800F1">
        <w:rPr>
          <w:rFonts w:ascii="Times New Roman" w:hAnsi="Times New Roman" w:cs="Times New Roman"/>
          <w:sz w:val="24"/>
          <w:szCs w:val="24"/>
        </w:rPr>
        <w:t>сирования</w:t>
      </w:r>
      <w:r w:rsidR="00C800F1">
        <w:rPr>
          <w:rFonts w:ascii="Times New Roman" w:hAnsi="Times New Roman" w:cs="Times New Roman"/>
          <w:sz w:val="24"/>
          <w:szCs w:val="24"/>
        </w:rPr>
        <w:t>.</w:t>
      </w:r>
    </w:p>
    <w:p w14:paraId="3E8D7096" w14:textId="77777777" w:rsidR="0000551D" w:rsidRPr="0000551D" w:rsidRDefault="0000551D" w:rsidP="0000551D">
      <w:pPr>
        <w:spacing w:before="60" w:after="60" w:line="240" w:lineRule="auto"/>
        <w:ind w:firstLine="709"/>
        <w:jc w:val="both"/>
        <w:rPr>
          <w:rFonts w:ascii="Times New Roman" w:hAnsi="Times New Roman" w:cs="Times New Roman"/>
          <w:sz w:val="24"/>
          <w:szCs w:val="24"/>
        </w:rPr>
      </w:pPr>
      <w:r w:rsidRPr="0000551D">
        <w:rPr>
          <w:rFonts w:ascii="Times New Roman" w:hAnsi="Times New Roman" w:cs="Times New Roman"/>
          <w:sz w:val="24"/>
          <w:szCs w:val="24"/>
        </w:rPr>
        <w:t>Основная задача Заявителя при подготовке Сметы проекта – обоснованно запланировать расходы проекта. Включение в смету экономически целесообразных и непосредственно связанных с проектом расходов в будущем позволит Заемщику избежать затруднений при расходовании средств выделенного займа. Сумма займа перечисляется на специально открытый для финансирования проекта счет, списание средств с которого производится после акцепта Фондом платежа и (в установленных случаях) согласования получателя платежа.</w:t>
      </w:r>
    </w:p>
    <w:p w14:paraId="491101CD" w14:textId="2B2B72CE" w:rsidR="0000551D" w:rsidRDefault="0000551D" w:rsidP="0000551D">
      <w:pPr>
        <w:spacing w:before="60" w:after="60" w:line="240" w:lineRule="auto"/>
        <w:ind w:firstLine="709"/>
        <w:jc w:val="both"/>
        <w:rPr>
          <w:rFonts w:ascii="Times New Roman" w:hAnsi="Times New Roman" w:cs="Times New Roman"/>
          <w:sz w:val="24"/>
          <w:szCs w:val="24"/>
        </w:rPr>
      </w:pPr>
      <w:r w:rsidRPr="0000551D">
        <w:rPr>
          <w:rFonts w:ascii="Times New Roman" w:hAnsi="Times New Roman" w:cs="Times New Roman"/>
          <w:sz w:val="24"/>
          <w:szCs w:val="24"/>
        </w:rPr>
        <w:t xml:space="preserve">После заключения договора целевого займа Фонд вправе на этапе акцепта платежей отказать Заемщику в перечислении средств в адрес того или иного получателя, если такой платеж не относится к проекту, не может быть произведен за счет средств займа или его характер иным образом противоречит действующему законодательству или стандартам Фонда. Регламент согласования Фондом операций по расходованию средств займа, в том числе перечень оснований, по которым Фонд вправе отказать Заемщику в акцепте платежа, изложен в Приложении № </w:t>
      </w:r>
      <w:r w:rsidR="001A579A">
        <w:rPr>
          <w:rFonts w:ascii="Times New Roman" w:hAnsi="Times New Roman" w:cs="Times New Roman"/>
          <w:sz w:val="24"/>
          <w:szCs w:val="24"/>
        </w:rPr>
        <w:t>8</w:t>
      </w:r>
      <w:r w:rsidRPr="0000551D">
        <w:rPr>
          <w:rFonts w:ascii="Times New Roman" w:hAnsi="Times New Roman" w:cs="Times New Roman"/>
          <w:sz w:val="24"/>
          <w:szCs w:val="24"/>
        </w:rPr>
        <w:t xml:space="preserve"> договора займа, с которым рекомендуем Вам ознакомиться.</w:t>
      </w:r>
    </w:p>
    <w:p w14:paraId="66D69DCF" w14:textId="77777777" w:rsidR="00826073" w:rsidRPr="001D01F7" w:rsidRDefault="00826073" w:rsidP="00826073">
      <w:pPr>
        <w:spacing w:before="60" w:after="60" w:line="240" w:lineRule="auto"/>
        <w:ind w:firstLine="709"/>
        <w:jc w:val="both"/>
        <w:rPr>
          <w:rFonts w:ascii="Times New Roman" w:hAnsi="Times New Roman" w:cs="Times New Roman"/>
          <w:bCs/>
          <w:sz w:val="24"/>
          <w:szCs w:val="28"/>
          <w:u w:val="single"/>
        </w:rPr>
      </w:pPr>
      <w:r w:rsidRPr="001D01F7">
        <w:rPr>
          <w:rFonts w:ascii="Times New Roman" w:hAnsi="Times New Roman" w:cs="Times New Roman"/>
          <w:bCs/>
          <w:sz w:val="24"/>
          <w:szCs w:val="28"/>
          <w:u w:val="single"/>
        </w:rPr>
        <w:t>Для сведения:</w:t>
      </w:r>
    </w:p>
    <w:p w14:paraId="527106FC" w14:textId="76D1ABF9" w:rsidR="00826073" w:rsidRPr="00826073" w:rsidRDefault="00826073" w:rsidP="00826073">
      <w:pPr>
        <w:spacing w:before="60" w:after="60" w:line="240" w:lineRule="auto"/>
        <w:ind w:firstLine="709"/>
        <w:jc w:val="both"/>
        <w:rPr>
          <w:rFonts w:ascii="Times New Roman" w:hAnsi="Times New Roman" w:cs="Times New Roman"/>
          <w:sz w:val="24"/>
          <w:szCs w:val="24"/>
        </w:rPr>
      </w:pPr>
      <w:r w:rsidRPr="00826073">
        <w:rPr>
          <w:rFonts w:ascii="Times New Roman" w:hAnsi="Times New Roman" w:cs="Times New Roman"/>
          <w:sz w:val="24"/>
          <w:szCs w:val="24"/>
        </w:rPr>
        <w:t xml:space="preserve">Для акцепта платежей на этапах выполнения договора целевого займа Фондом введен специальный термин </w:t>
      </w:r>
      <w:r w:rsidR="00185326">
        <w:rPr>
          <w:rFonts w:ascii="Times New Roman" w:hAnsi="Times New Roman" w:cs="Times New Roman"/>
          <w:sz w:val="24"/>
          <w:szCs w:val="24"/>
        </w:rPr>
        <w:t>«</w:t>
      </w:r>
      <w:r w:rsidRPr="00826073">
        <w:rPr>
          <w:rFonts w:ascii="Times New Roman" w:hAnsi="Times New Roman" w:cs="Times New Roman"/>
          <w:sz w:val="24"/>
          <w:szCs w:val="24"/>
        </w:rPr>
        <w:t>код ЦРС</w:t>
      </w:r>
      <w:r w:rsidR="00185326">
        <w:rPr>
          <w:rFonts w:ascii="Times New Roman" w:hAnsi="Times New Roman" w:cs="Times New Roman"/>
          <w:sz w:val="24"/>
          <w:szCs w:val="24"/>
        </w:rPr>
        <w:t>»</w:t>
      </w:r>
      <w:r w:rsidRPr="00826073">
        <w:rPr>
          <w:rFonts w:ascii="Times New Roman" w:hAnsi="Times New Roman" w:cs="Times New Roman"/>
          <w:sz w:val="24"/>
          <w:szCs w:val="24"/>
        </w:rPr>
        <w:t xml:space="preserve"> – код целевого расходования средств по договору целевого займа. Этот цифровой код образуют пересечения строк и столбцов Сметы.</w:t>
      </w:r>
    </w:p>
    <w:p w14:paraId="5525C3E4" w14:textId="77777777" w:rsidR="00826073" w:rsidRPr="00826073" w:rsidRDefault="00826073" w:rsidP="00826073">
      <w:pPr>
        <w:spacing w:before="60" w:after="60" w:line="240" w:lineRule="auto"/>
        <w:ind w:firstLine="709"/>
        <w:jc w:val="both"/>
        <w:rPr>
          <w:rFonts w:ascii="Times New Roman" w:hAnsi="Times New Roman" w:cs="Times New Roman"/>
          <w:sz w:val="24"/>
          <w:szCs w:val="24"/>
        </w:rPr>
      </w:pPr>
      <w:r w:rsidRPr="00826073">
        <w:rPr>
          <w:rFonts w:ascii="Times New Roman" w:hAnsi="Times New Roman" w:cs="Times New Roman"/>
          <w:sz w:val="24"/>
          <w:szCs w:val="24"/>
        </w:rPr>
        <w:t>Код ЦРС формируется следующим образом: первая и в отдельных случаях вторая цифра – порядковый номер направления целевого использования средств, последняя цифра – порядковый номер вида затрат.</w:t>
      </w:r>
    </w:p>
    <w:p w14:paraId="24D8F392" w14:textId="5B86D1CC" w:rsidR="00826073" w:rsidRPr="00826073" w:rsidRDefault="00826073" w:rsidP="00826073">
      <w:pPr>
        <w:spacing w:before="60" w:after="60" w:line="240" w:lineRule="auto"/>
        <w:ind w:firstLine="709"/>
        <w:jc w:val="both"/>
        <w:rPr>
          <w:rFonts w:ascii="Times New Roman" w:hAnsi="Times New Roman" w:cs="Times New Roman"/>
          <w:sz w:val="24"/>
          <w:szCs w:val="24"/>
        </w:rPr>
      </w:pPr>
      <w:r w:rsidRPr="00826073">
        <w:rPr>
          <w:rFonts w:ascii="Times New Roman" w:hAnsi="Times New Roman" w:cs="Times New Roman"/>
          <w:sz w:val="24"/>
          <w:szCs w:val="24"/>
        </w:rPr>
        <w:t xml:space="preserve">Например: </w:t>
      </w:r>
      <w:r w:rsidR="009F1D3A" w:rsidRPr="009F1D3A">
        <w:rPr>
          <w:rFonts w:ascii="Times New Roman" w:hAnsi="Times New Roman" w:cs="Times New Roman"/>
          <w:sz w:val="24"/>
          <w:szCs w:val="24"/>
        </w:rPr>
        <w:t>Приобретение или использование специального оборудования для проведения необходимых ОКР и отработки технологии, включая создание опытно-промышленных установок</w:t>
      </w:r>
      <w:r w:rsidRPr="00826073">
        <w:rPr>
          <w:rFonts w:ascii="Times New Roman" w:hAnsi="Times New Roman" w:cs="Times New Roman"/>
          <w:sz w:val="24"/>
          <w:szCs w:val="24"/>
        </w:rPr>
        <w:t>:</w:t>
      </w:r>
    </w:p>
    <w:p w14:paraId="3204F78A" w14:textId="6CD92914" w:rsidR="00826073" w:rsidRPr="006B5D48" w:rsidRDefault="00185326" w:rsidP="009F1D3A">
      <w:pPr>
        <w:pStyle w:val="a7"/>
        <w:numPr>
          <w:ilvl w:val="0"/>
          <w:numId w:val="2"/>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009F1D3A">
        <w:rPr>
          <w:rFonts w:ascii="Times New Roman" w:hAnsi="Times New Roman" w:cs="Times New Roman"/>
          <w:sz w:val="24"/>
          <w:szCs w:val="24"/>
        </w:rPr>
        <w:t>3</w:t>
      </w:r>
      <w:r>
        <w:rPr>
          <w:rFonts w:ascii="Times New Roman" w:hAnsi="Times New Roman" w:cs="Times New Roman"/>
          <w:sz w:val="24"/>
          <w:szCs w:val="24"/>
        </w:rPr>
        <w:t>»</w:t>
      </w:r>
      <w:r w:rsidR="00826073" w:rsidRPr="006B5D48">
        <w:rPr>
          <w:rFonts w:ascii="Times New Roman" w:hAnsi="Times New Roman" w:cs="Times New Roman"/>
          <w:sz w:val="24"/>
          <w:szCs w:val="24"/>
        </w:rPr>
        <w:t xml:space="preserve"> </w:t>
      </w:r>
      <w:r w:rsidR="00D42D53" w:rsidRPr="006B5D48">
        <w:rPr>
          <w:rFonts w:ascii="Times New Roman" w:hAnsi="Times New Roman" w:cs="Times New Roman"/>
          <w:sz w:val="24"/>
          <w:szCs w:val="24"/>
        </w:rPr>
        <w:t>— это</w:t>
      </w:r>
      <w:r w:rsidR="00826073" w:rsidRPr="006B5D48">
        <w:rPr>
          <w:rFonts w:ascii="Times New Roman" w:hAnsi="Times New Roman" w:cs="Times New Roman"/>
          <w:sz w:val="24"/>
          <w:szCs w:val="24"/>
        </w:rPr>
        <w:t xml:space="preserve"> направление расходования средств </w:t>
      </w:r>
      <w:r>
        <w:rPr>
          <w:rFonts w:ascii="Times New Roman" w:hAnsi="Times New Roman" w:cs="Times New Roman"/>
          <w:sz w:val="24"/>
          <w:szCs w:val="24"/>
        </w:rPr>
        <w:t>«</w:t>
      </w:r>
      <w:r w:rsidR="009F1D3A" w:rsidRPr="009F1D3A">
        <w:rPr>
          <w:rFonts w:ascii="Times New Roman" w:hAnsi="Times New Roman" w:cs="Times New Roman"/>
          <w:sz w:val="24"/>
          <w:szCs w:val="24"/>
        </w:rPr>
        <w:t>Приобретение или использование специального оборудования для проведения необходимых ОКР и отработки технологии, включая создание опытно-промышленных установок</w:t>
      </w:r>
      <w:r>
        <w:rPr>
          <w:rFonts w:ascii="Times New Roman" w:hAnsi="Times New Roman" w:cs="Times New Roman"/>
          <w:sz w:val="24"/>
          <w:szCs w:val="24"/>
        </w:rPr>
        <w:t>»;</w:t>
      </w:r>
    </w:p>
    <w:p w14:paraId="73CC9090" w14:textId="583C0F67" w:rsidR="00185326" w:rsidRDefault="00185326" w:rsidP="00192335">
      <w:pPr>
        <w:pStyle w:val="a7"/>
        <w:numPr>
          <w:ilvl w:val="0"/>
          <w:numId w:val="2"/>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00826073" w:rsidRPr="006B5D48">
        <w:rPr>
          <w:rFonts w:ascii="Times New Roman" w:hAnsi="Times New Roman" w:cs="Times New Roman"/>
          <w:sz w:val="24"/>
          <w:szCs w:val="24"/>
        </w:rPr>
        <w:t>4</w:t>
      </w:r>
      <w:r>
        <w:rPr>
          <w:rFonts w:ascii="Times New Roman" w:hAnsi="Times New Roman" w:cs="Times New Roman"/>
          <w:sz w:val="24"/>
          <w:szCs w:val="24"/>
        </w:rPr>
        <w:t>»</w:t>
      </w:r>
      <w:r w:rsidR="00826073" w:rsidRPr="006B5D48">
        <w:rPr>
          <w:rFonts w:ascii="Times New Roman" w:hAnsi="Times New Roman" w:cs="Times New Roman"/>
          <w:sz w:val="24"/>
          <w:szCs w:val="24"/>
        </w:rPr>
        <w:t xml:space="preserve"> - вид затрат </w:t>
      </w:r>
      <w:r>
        <w:rPr>
          <w:rFonts w:ascii="Times New Roman" w:hAnsi="Times New Roman" w:cs="Times New Roman"/>
          <w:sz w:val="24"/>
          <w:szCs w:val="24"/>
        </w:rPr>
        <w:t>«</w:t>
      </w:r>
      <w:r w:rsidR="00826073" w:rsidRPr="006B5D48">
        <w:rPr>
          <w:rFonts w:ascii="Times New Roman" w:hAnsi="Times New Roman" w:cs="Times New Roman"/>
          <w:sz w:val="24"/>
          <w:szCs w:val="24"/>
        </w:rPr>
        <w:t>Приобретение оборудования</w:t>
      </w:r>
      <w:r>
        <w:rPr>
          <w:rFonts w:ascii="Times New Roman" w:hAnsi="Times New Roman" w:cs="Times New Roman"/>
          <w:sz w:val="24"/>
          <w:szCs w:val="24"/>
        </w:rPr>
        <w:t>/зданий/сооружений»</w:t>
      </w:r>
      <w:r w:rsidR="00826073" w:rsidRPr="006B5D48">
        <w:rPr>
          <w:rFonts w:ascii="Times New Roman" w:hAnsi="Times New Roman" w:cs="Times New Roman"/>
          <w:sz w:val="24"/>
          <w:szCs w:val="24"/>
        </w:rPr>
        <w:t>.</w:t>
      </w:r>
    </w:p>
    <w:p w14:paraId="1327CC98" w14:textId="77777777" w:rsidR="00192335" w:rsidRPr="00192335" w:rsidRDefault="00192335" w:rsidP="00D00310">
      <w:pPr>
        <w:pStyle w:val="a7"/>
        <w:spacing w:before="60" w:after="60" w:line="240" w:lineRule="auto"/>
        <w:ind w:left="1429"/>
        <w:jc w:val="both"/>
        <w:rPr>
          <w:rFonts w:ascii="Times New Roman" w:hAnsi="Times New Roman" w:cs="Times New Roman"/>
          <w:sz w:val="24"/>
          <w:szCs w:val="24"/>
        </w:rPr>
      </w:pPr>
    </w:p>
    <w:p w14:paraId="651FA9F4" w14:textId="7EC6C974" w:rsidR="006B5D48" w:rsidRPr="00D42D53" w:rsidRDefault="006B5D48" w:rsidP="001D01F7">
      <w:pPr>
        <w:pStyle w:val="a7"/>
        <w:shd w:val="clear" w:color="auto" w:fill="088DBC"/>
        <w:spacing w:before="60" w:after="60" w:line="240" w:lineRule="auto"/>
        <w:ind w:left="284"/>
        <w:rPr>
          <w:rFonts w:ascii="Times New Roman" w:hAnsi="Times New Roman" w:cs="Times New Roman"/>
          <w:b/>
          <w:bCs/>
          <w:sz w:val="28"/>
          <w:szCs w:val="28"/>
        </w:rPr>
      </w:pPr>
      <w:r w:rsidRPr="00D42D53">
        <w:rPr>
          <w:rFonts w:ascii="Times New Roman" w:hAnsi="Times New Roman" w:cs="Times New Roman"/>
          <w:b/>
          <w:bCs/>
          <w:sz w:val="28"/>
          <w:szCs w:val="28"/>
        </w:rPr>
        <w:t>Распределение средств софинансирования и средств займа в Смете проекта</w:t>
      </w:r>
    </w:p>
    <w:p w14:paraId="1A052BBC" w14:textId="77777777" w:rsidR="001D01F7" w:rsidRDefault="001D01F7" w:rsidP="00F7029C">
      <w:pPr>
        <w:pStyle w:val="a7"/>
        <w:spacing w:before="60" w:after="60" w:line="240" w:lineRule="auto"/>
        <w:ind w:left="0" w:firstLine="709"/>
        <w:jc w:val="both"/>
        <w:rPr>
          <w:rFonts w:ascii="Times New Roman" w:hAnsi="Times New Roman" w:cs="Times New Roman"/>
          <w:sz w:val="24"/>
          <w:szCs w:val="24"/>
        </w:rPr>
      </w:pPr>
      <w:r w:rsidRPr="001D01F7">
        <w:rPr>
          <w:rFonts w:ascii="Times New Roman" w:hAnsi="Times New Roman" w:cs="Times New Roman"/>
          <w:sz w:val="24"/>
          <w:szCs w:val="24"/>
        </w:rPr>
        <w:t xml:space="preserve">Минимальный объем софинансирования проекта по данной программе составляет 20%. </w:t>
      </w:r>
    </w:p>
    <w:p w14:paraId="2F9D45C7" w14:textId="5FEAEC94" w:rsidR="006B5D48" w:rsidRPr="006B5D48" w:rsidRDefault="006B5D48" w:rsidP="00F7029C">
      <w:pPr>
        <w:pStyle w:val="a7"/>
        <w:spacing w:before="60" w:after="60" w:line="240" w:lineRule="auto"/>
        <w:ind w:left="0" w:firstLine="709"/>
        <w:jc w:val="both"/>
        <w:rPr>
          <w:rFonts w:ascii="Times New Roman" w:hAnsi="Times New Roman" w:cs="Times New Roman"/>
          <w:sz w:val="24"/>
          <w:szCs w:val="24"/>
        </w:rPr>
      </w:pPr>
      <w:r w:rsidRPr="006B5D48">
        <w:rPr>
          <w:rFonts w:ascii="Times New Roman" w:hAnsi="Times New Roman" w:cs="Times New Roman"/>
          <w:sz w:val="24"/>
          <w:szCs w:val="24"/>
        </w:rPr>
        <w:t>Стандарт содержат подробные сведения о том, какое софинансирование проекта обязан обеспечить Заявитель за счет привлечения в проект собственных средств компании, средств акционеров компании, банковских кредитов, средств частных инвесторов. Важно помнить, что средства субсидий, выделенных для реализации проекта из государственного бюджета, не могут быть приведены как средства софинансирования, даже если они фактически используются для целей проекта. Также в качестве софинансирования не может быть учтена прибыль, генерируемая данным проектом.</w:t>
      </w:r>
    </w:p>
    <w:p w14:paraId="3F8AB1F8" w14:textId="1A97BC06" w:rsidR="006B5D48" w:rsidRPr="006B5D48" w:rsidRDefault="006B5D48" w:rsidP="00F7029C">
      <w:pPr>
        <w:pStyle w:val="a7"/>
        <w:spacing w:before="60" w:after="60" w:line="240" w:lineRule="auto"/>
        <w:ind w:left="0" w:firstLine="709"/>
        <w:jc w:val="both"/>
        <w:rPr>
          <w:rFonts w:ascii="Times New Roman" w:hAnsi="Times New Roman" w:cs="Times New Roman"/>
          <w:sz w:val="24"/>
          <w:szCs w:val="24"/>
        </w:rPr>
      </w:pPr>
      <w:r w:rsidRPr="006B5D48">
        <w:rPr>
          <w:rFonts w:ascii="Times New Roman" w:hAnsi="Times New Roman" w:cs="Times New Roman"/>
          <w:sz w:val="24"/>
          <w:szCs w:val="24"/>
        </w:rPr>
        <w:t>В Смете проекта Заявитель указывает средства софинансирования, вложенные в проект в течение предшествующих периодов (такой срок также определяется Стандартом для каждой программы финансирования). К примеру, если Стандарт предусматривает возможность учета расходов по прое</w:t>
      </w:r>
      <w:r w:rsidRPr="006D503A">
        <w:rPr>
          <w:rFonts w:ascii="Times New Roman" w:hAnsi="Times New Roman" w:cs="Times New Roman"/>
          <w:sz w:val="24"/>
          <w:szCs w:val="24"/>
        </w:rPr>
        <w:t xml:space="preserve">кту, понесенных Заявителем </w:t>
      </w:r>
      <w:r w:rsidR="00F7029C" w:rsidRPr="006D503A">
        <w:rPr>
          <w:rFonts w:ascii="Times New Roman" w:hAnsi="Times New Roman" w:cs="Times New Roman"/>
          <w:sz w:val="24"/>
          <w:szCs w:val="24"/>
        </w:rPr>
        <w:t xml:space="preserve">не ранее </w:t>
      </w:r>
      <w:r w:rsidR="006D503A" w:rsidRPr="006D503A">
        <w:rPr>
          <w:rFonts w:ascii="Times New Roman" w:hAnsi="Times New Roman" w:cs="Times New Roman"/>
          <w:sz w:val="24"/>
          <w:szCs w:val="24"/>
        </w:rPr>
        <w:t>двух лет</w:t>
      </w:r>
      <w:r w:rsidR="003512E8" w:rsidRPr="006D503A">
        <w:rPr>
          <w:rFonts w:ascii="Times New Roman" w:hAnsi="Times New Roman" w:cs="Times New Roman"/>
          <w:sz w:val="24"/>
          <w:szCs w:val="24"/>
        </w:rPr>
        <w:t>,</w:t>
      </w:r>
      <w:r w:rsidRPr="006D503A">
        <w:rPr>
          <w:rFonts w:ascii="Times New Roman" w:hAnsi="Times New Roman" w:cs="Times New Roman"/>
          <w:sz w:val="24"/>
          <w:szCs w:val="24"/>
        </w:rPr>
        <w:t xml:space="preserve"> предшествующих </w:t>
      </w:r>
      <w:r w:rsidR="00F7029C" w:rsidRPr="006D503A">
        <w:rPr>
          <w:rFonts w:ascii="Times New Roman" w:hAnsi="Times New Roman" w:cs="Times New Roman"/>
          <w:sz w:val="24"/>
          <w:szCs w:val="24"/>
        </w:rPr>
        <w:t>дате подачи Заявки</w:t>
      </w:r>
      <w:r w:rsidRPr="006D503A">
        <w:rPr>
          <w:rFonts w:ascii="Times New Roman" w:hAnsi="Times New Roman" w:cs="Times New Roman"/>
          <w:sz w:val="24"/>
          <w:szCs w:val="24"/>
        </w:rPr>
        <w:t xml:space="preserve">, для проекта, заявка </w:t>
      </w:r>
      <w:proofErr w:type="gramStart"/>
      <w:r w:rsidRPr="006D503A">
        <w:rPr>
          <w:rFonts w:ascii="Times New Roman" w:hAnsi="Times New Roman" w:cs="Times New Roman"/>
          <w:sz w:val="24"/>
          <w:szCs w:val="24"/>
        </w:rPr>
        <w:t>на финансирование</w:t>
      </w:r>
      <w:proofErr w:type="gramEnd"/>
      <w:r w:rsidRPr="006D503A">
        <w:rPr>
          <w:rFonts w:ascii="Times New Roman" w:hAnsi="Times New Roman" w:cs="Times New Roman"/>
          <w:sz w:val="24"/>
          <w:szCs w:val="24"/>
        </w:rPr>
        <w:t xml:space="preserve"> которого подана</w:t>
      </w:r>
      <w:r w:rsidR="00F7029C" w:rsidRPr="006D503A">
        <w:rPr>
          <w:rFonts w:ascii="Times New Roman" w:hAnsi="Times New Roman" w:cs="Times New Roman"/>
          <w:sz w:val="24"/>
          <w:szCs w:val="24"/>
        </w:rPr>
        <w:t xml:space="preserve"> 11</w:t>
      </w:r>
      <w:r w:rsidRPr="006D503A">
        <w:rPr>
          <w:rFonts w:ascii="Times New Roman" w:hAnsi="Times New Roman" w:cs="Times New Roman"/>
          <w:sz w:val="24"/>
          <w:szCs w:val="24"/>
        </w:rPr>
        <w:t xml:space="preserve"> </w:t>
      </w:r>
      <w:r w:rsidR="00F7029C" w:rsidRPr="006D503A">
        <w:rPr>
          <w:rFonts w:ascii="Times New Roman" w:hAnsi="Times New Roman" w:cs="Times New Roman"/>
          <w:sz w:val="24"/>
          <w:szCs w:val="24"/>
        </w:rPr>
        <w:t>июня</w:t>
      </w:r>
      <w:r w:rsidRPr="006D503A">
        <w:rPr>
          <w:rFonts w:ascii="Times New Roman" w:hAnsi="Times New Roman" w:cs="Times New Roman"/>
          <w:sz w:val="24"/>
          <w:szCs w:val="24"/>
        </w:rPr>
        <w:t xml:space="preserve"> </w:t>
      </w:r>
      <w:r w:rsidR="003512E8" w:rsidRPr="006D503A">
        <w:rPr>
          <w:rFonts w:ascii="Times New Roman" w:hAnsi="Times New Roman" w:cs="Times New Roman"/>
          <w:sz w:val="24"/>
          <w:szCs w:val="24"/>
        </w:rPr>
        <w:t>2023</w:t>
      </w:r>
      <w:r w:rsidRPr="006D503A">
        <w:rPr>
          <w:rFonts w:ascii="Times New Roman" w:hAnsi="Times New Roman" w:cs="Times New Roman"/>
          <w:sz w:val="24"/>
          <w:szCs w:val="24"/>
        </w:rPr>
        <w:t xml:space="preserve"> г., могут быть указаны расходы за счет средств софинансирования, фактически понесенные (оплаченные) начиная с </w:t>
      </w:r>
      <w:r w:rsidR="00F7029C" w:rsidRPr="006D503A">
        <w:rPr>
          <w:rFonts w:ascii="Times New Roman" w:hAnsi="Times New Roman" w:cs="Times New Roman"/>
          <w:sz w:val="24"/>
          <w:szCs w:val="24"/>
        </w:rPr>
        <w:t>11</w:t>
      </w:r>
      <w:r w:rsidRPr="006D503A">
        <w:rPr>
          <w:rFonts w:ascii="Times New Roman" w:hAnsi="Times New Roman" w:cs="Times New Roman"/>
          <w:sz w:val="24"/>
          <w:szCs w:val="24"/>
        </w:rPr>
        <w:t xml:space="preserve"> </w:t>
      </w:r>
      <w:r w:rsidR="006D503A" w:rsidRPr="006D503A">
        <w:rPr>
          <w:rFonts w:ascii="Times New Roman" w:hAnsi="Times New Roman" w:cs="Times New Roman"/>
          <w:sz w:val="24"/>
          <w:szCs w:val="24"/>
        </w:rPr>
        <w:t>июня</w:t>
      </w:r>
      <w:r w:rsidRPr="006D503A">
        <w:rPr>
          <w:rFonts w:ascii="Times New Roman" w:hAnsi="Times New Roman" w:cs="Times New Roman"/>
          <w:sz w:val="24"/>
          <w:szCs w:val="24"/>
        </w:rPr>
        <w:t xml:space="preserve"> </w:t>
      </w:r>
      <w:r w:rsidR="003512E8" w:rsidRPr="006D503A">
        <w:rPr>
          <w:rFonts w:ascii="Times New Roman" w:hAnsi="Times New Roman" w:cs="Times New Roman"/>
          <w:sz w:val="24"/>
          <w:szCs w:val="24"/>
        </w:rPr>
        <w:t>202</w:t>
      </w:r>
      <w:r w:rsidR="006D503A" w:rsidRPr="006D503A">
        <w:rPr>
          <w:rFonts w:ascii="Times New Roman" w:hAnsi="Times New Roman" w:cs="Times New Roman"/>
          <w:sz w:val="24"/>
          <w:szCs w:val="24"/>
        </w:rPr>
        <w:t>1</w:t>
      </w:r>
      <w:r w:rsidRPr="006D503A">
        <w:rPr>
          <w:rFonts w:ascii="Times New Roman" w:hAnsi="Times New Roman" w:cs="Times New Roman"/>
          <w:sz w:val="24"/>
          <w:szCs w:val="24"/>
        </w:rPr>
        <w:t xml:space="preserve"> г.</w:t>
      </w:r>
    </w:p>
    <w:p w14:paraId="46DA464B" w14:textId="72621AE2" w:rsidR="006B5D48" w:rsidRPr="006B5D48" w:rsidRDefault="006B5D48" w:rsidP="00F7029C">
      <w:pPr>
        <w:pStyle w:val="a7"/>
        <w:spacing w:before="60" w:after="60" w:line="240" w:lineRule="auto"/>
        <w:ind w:left="0" w:firstLine="709"/>
        <w:jc w:val="both"/>
        <w:rPr>
          <w:rFonts w:ascii="Times New Roman" w:hAnsi="Times New Roman" w:cs="Times New Roman"/>
          <w:sz w:val="24"/>
          <w:szCs w:val="24"/>
        </w:rPr>
      </w:pPr>
      <w:r w:rsidRPr="006B5D48">
        <w:rPr>
          <w:rFonts w:ascii="Times New Roman" w:hAnsi="Times New Roman" w:cs="Times New Roman"/>
          <w:sz w:val="24"/>
          <w:szCs w:val="24"/>
        </w:rPr>
        <w:t>На</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этапе</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комплексной</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экспертизы</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Заявитель</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обязан</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документально</w:t>
      </w:r>
      <w:r w:rsidR="00F7029C">
        <w:rPr>
          <w:rFonts w:ascii="Times New Roman" w:hAnsi="Times New Roman" w:cs="Times New Roman"/>
          <w:sz w:val="24"/>
          <w:szCs w:val="24"/>
        </w:rPr>
        <w:t xml:space="preserve"> </w:t>
      </w:r>
      <w:r w:rsidRPr="006B5D48">
        <w:rPr>
          <w:rFonts w:ascii="Times New Roman" w:hAnsi="Times New Roman" w:cs="Times New Roman"/>
          <w:sz w:val="24"/>
          <w:szCs w:val="24"/>
        </w:rPr>
        <w:t>подтвердить Фонду понесенные в предшествующих периодах расходы по проекту.</w:t>
      </w:r>
    </w:p>
    <w:p w14:paraId="7522F9EF" w14:textId="2492C133" w:rsidR="006B5D48" w:rsidRPr="00C34319" w:rsidRDefault="006B5D48" w:rsidP="00DA46E0">
      <w:pPr>
        <w:pStyle w:val="a7"/>
        <w:spacing w:before="60" w:after="60" w:line="240" w:lineRule="auto"/>
        <w:ind w:left="0" w:firstLine="709"/>
        <w:jc w:val="both"/>
        <w:rPr>
          <w:rFonts w:ascii="Times New Roman" w:hAnsi="Times New Roman" w:cs="Times New Roman"/>
          <w:sz w:val="24"/>
          <w:szCs w:val="24"/>
        </w:rPr>
      </w:pPr>
      <w:r w:rsidRPr="006B5D48">
        <w:rPr>
          <w:rFonts w:ascii="Times New Roman" w:hAnsi="Times New Roman" w:cs="Times New Roman"/>
          <w:sz w:val="24"/>
          <w:szCs w:val="24"/>
        </w:rPr>
        <w:t xml:space="preserve">Данные о понесенных расходах подлежат отражению в разделе Сметы </w:t>
      </w:r>
      <w:r w:rsidR="00DA46E0">
        <w:rPr>
          <w:rFonts w:ascii="Times New Roman" w:hAnsi="Times New Roman" w:cs="Times New Roman"/>
          <w:sz w:val="24"/>
          <w:szCs w:val="24"/>
        </w:rPr>
        <w:t>«</w:t>
      </w:r>
      <w:r w:rsidRPr="006B5D48">
        <w:rPr>
          <w:rFonts w:ascii="Times New Roman" w:hAnsi="Times New Roman" w:cs="Times New Roman"/>
          <w:sz w:val="24"/>
          <w:szCs w:val="24"/>
        </w:rPr>
        <w:t>В том числе распределение по годам</w:t>
      </w:r>
      <w:r w:rsidR="00DA46E0">
        <w:rPr>
          <w:rFonts w:ascii="Times New Roman" w:hAnsi="Times New Roman" w:cs="Times New Roman"/>
          <w:sz w:val="24"/>
          <w:szCs w:val="24"/>
        </w:rPr>
        <w:t>»</w:t>
      </w:r>
      <w:r w:rsidRPr="006B5D48">
        <w:rPr>
          <w:rFonts w:ascii="Times New Roman" w:hAnsi="Times New Roman" w:cs="Times New Roman"/>
          <w:sz w:val="24"/>
          <w:szCs w:val="24"/>
        </w:rPr>
        <w:t xml:space="preserve">: суммарно в соответствующих графах по видам затрат (по вертикали) и в </w:t>
      </w:r>
      <w:r w:rsidRPr="00C34319">
        <w:rPr>
          <w:rFonts w:ascii="Times New Roman" w:hAnsi="Times New Roman" w:cs="Times New Roman"/>
          <w:sz w:val="24"/>
          <w:szCs w:val="24"/>
        </w:rPr>
        <w:t>разбивке по годам (по горизонтали) до года заключения договора целевого займа.</w:t>
      </w:r>
    </w:p>
    <w:p w14:paraId="0B09BE1A" w14:textId="77777777" w:rsidR="004E3798" w:rsidRPr="00C34319" w:rsidRDefault="00AD50A7" w:rsidP="0027096F">
      <w:pPr>
        <w:pStyle w:val="a7"/>
        <w:spacing w:before="60" w:after="60" w:line="240" w:lineRule="auto"/>
        <w:ind w:left="0" w:firstLine="709"/>
        <w:jc w:val="both"/>
        <w:rPr>
          <w:rFonts w:ascii="Times New Roman" w:hAnsi="Times New Roman" w:cs="Times New Roman"/>
          <w:sz w:val="24"/>
          <w:szCs w:val="24"/>
        </w:rPr>
      </w:pPr>
      <w:r w:rsidRPr="00C34319">
        <w:rPr>
          <w:rFonts w:ascii="Times New Roman" w:hAnsi="Times New Roman" w:cs="Times New Roman"/>
          <w:sz w:val="24"/>
          <w:szCs w:val="24"/>
        </w:rPr>
        <w:t>Планируемые расходы по софинансированию, приведенные в Смете,  должны в разбивке по годам корреспондировать с Целевым показателем эффективности использования займа "Объем средств частных инвесторов, привлекаемых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 Фонда и бюд</w:t>
      </w:r>
      <w:r w:rsidR="00EE1D87" w:rsidRPr="00C34319">
        <w:rPr>
          <w:rFonts w:ascii="Times New Roman" w:hAnsi="Times New Roman" w:cs="Times New Roman"/>
          <w:sz w:val="24"/>
          <w:szCs w:val="24"/>
        </w:rPr>
        <w:t>жетных средств финансирования)"</w:t>
      </w:r>
      <w:r w:rsidRPr="00C34319">
        <w:rPr>
          <w:rFonts w:ascii="Times New Roman" w:hAnsi="Times New Roman" w:cs="Times New Roman"/>
          <w:sz w:val="24"/>
          <w:szCs w:val="24"/>
        </w:rPr>
        <w:t xml:space="preserve">. </w:t>
      </w:r>
    </w:p>
    <w:p w14:paraId="1C7AFF9B" w14:textId="02C24BC9" w:rsidR="00521B8B" w:rsidRDefault="00AD50A7" w:rsidP="0027096F">
      <w:pPr>
        <w:pStyle w:val="a7"/>
        <w:spacing w:before="60" w:after="60" w:line="240" w:lineRule="auto"/>
        <w:ind w:left="0" w:firstLine="709"/>
        <w:jc w:val="both"/>
        <w:rPr>
          <w:rFonts w:ascii="Times New Roman" w:hAnsi="Times New Roman" w:cs="Times New Roman"/>
          <w:i/>
          <w:sz w:val="24"/>
          <w:szCs w:val="24"/>
        </w:rPr>
      </w:pPr>
      <w:r w:rsidRPr="007F700B">
        <w:rPr>
          <w:rFonts w:ascii="Times New Roman" w:hAnsi="Times New Roman" w:cs="Times New Roman"/>
          <w:sz w:val="24"/>
          <w:szCs w:val="24"/>
          <w:u w:val="single"/>
        </w:rPr>
        <w:t>Целевые показатели</w:t>
      </w:r>
      <w:r w:rsidRPr="00C34319">
        <w:rPr>
          <w:rFonts w:ascii="Times New Roman" w:hAnsi="Times New Roman" w:cs="Times New Roman"/>
          <w:sz w:val="24"/>
          <w:szCs w:val="24"/>
        </w:rPr>
        <w:t xml:space="preserve"> являются результатом реализации проекта, их значения указываются в приложении к договору целевого займа. Их выполнение Заемщиком будет предметом контроля со стороны Фонда в течение всего срока действия договора целевого займа и по завершении Проекта. </w:t>
      </w:r>
      <w:r w:rsidRPr="007F700B">
        <w:rPr>
          <w:rFonts w:ascii="Times New Roman" w:hAnsi="Times New Roman" w:cs="Times New Roman"/>
          <w:i/>
          <w:sz w:val="24"/>
          <w:szCs w:val="24"/>
        </w:rPr>
        <w:t>Следующие разделы данного Руководства будут содержать комментарии и пояснения о включении в смету тех или иных групп расходов для финансирования отдельных направлений целевого расходования средств займа</w:t>
      </w:r>
    </w:p>
    <w:p w14:paraId="2B4FD618" w14:textId="77777777" w:rsidR="00692C49" w:rsidRDefault="00692C49" w:rsidP="0027096F">
      <w:pPr>
        <w:pStyle w:val="a7"/>
        <w:spacing w:before="60" w:after="60" w:line="240" w:lineRule="auto"/>
        <w:ind w:left="0" w:firstLine="709"/>
        <w:jc w:val="both"/>
        <w:rPr>
          <w:rFonts w:ascii="Times New Roman" w:hAnsi="Times New Roman" w:cs="Times New Roman"/>
          <w:i/>
          <w:sz w:val="24"/>
          <w:szCs w:val="24"/>
        </w:rPr>
      </w:pPr>
    </w:p>
    <w:p w14:paraId="780AD72A" w14:textId="77777777" w:rsidR="00692C49" w:rsidRPr="00B10A69" w:rsidRDefault="00692C49" w:rsidP="00B10A69">
      <w:pPr>
        <w:pStyle w:val="a7"/>
        <w:shd w:val="clear" w:color="auto" w:fill="088DBC"/>
        <w:spacing w:before="60" w:after="60" w:line="240" w:lineRule="auto"/>
        <w:ind w:left="-142"/>
        <w:rPr>
          <w:rFonts w:ascii="Times New Roman" w:hAnsi="Times New Roman" w:cs="Times New Roman"/>
          <w:b/>
          <w:bCs/>
          <w:sz w:val="28"/>
          <w:szCs w:val="28"/>
        </w:rPr>
      </w:pPr>
      <w:r w:rsidRPr="00B10A69">
        <w:rPr>
          <w:rFonts w:ascii="Times New Roman" w:hAnsi="Times New Roman" w:cs="Times New Roman"/>
          <w:b/>
          <w:bCs/>
          <w:sz w:val="28"/>
          <w:szCs w:val="28"/>
        </w:rPr>
        <w:t>Распределение средств займа в Смете по Видам затрат (по вертикали в Смете)</w:t>
      </w:r>
    </w:p>
    <w:p w14:paraId="624B37E1" w14:textId="77777777" w:rsidR="006E2342" w:rsidRDefault="006E2342" w:rsidP="00692C49">
      <w:pPr>
        <w:pStyle w:val="a7"/>
        <w:spacing w:before="60" w:after="60" w:line="240" w:lineRule="auto"/>
        <w:ind w:left="0" w:firstLine="567"/>
        <w:jc w:val="both"/>
        <w:rPr>
          <w:rFonts w:ascii="Times New Roman" w:hAnsi="Times New Roman" w:cs="Times New Roman"/>
          <w:sz w:val="24"/>
          <w:szCs w:val="24"/>
        </w:rPr>
      </w:pPr>
    </w:p>
    <w:p w14:paraId="77279E21" w14:textId="4C6ECA78"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Распределение средств займа по видам затрат определяется Заявителем самостоятельно, исходя из планов выполнения р</w:t>
      </w:r>
      <w:r w:rsidR="00513C87">
        <w:rPr>
          <w:rFonts w:ascii="Times New Roman" w:hAnsi="Times New Roman" w:cs="Times New Roman"/>
          <w:sz w:val="24"/>
          <w:szCs w:val="24"/>
        </w:rPr>
        <w:t>абот в проекте: собственными си</w:t>
      </w:r>
      <w:r w:rsidRPr="00692C49">
        <w:rPr>
          <w:rFonts w:ascii="Times New Roman" w:hAnsi="Times New Roman" w:cs="Times New Roman"/>
          <w:sz w:val="24"/>
          <w:szCs w:val="24"/>
        </w:rPr>
        <w:t>лами, с привлечением сторонних подрядчиков, с приобретением материалов и оборудования или без такового.</w:t>
      </w:r>
    </w:p>
    <w:p w14:paraId="08D4BA8D" w14:textId="1264076E"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Условия получения заявителями целевого займа для реализации проекта по программам Фонда налагают на будущих заемщиков обязательства по целевому и эффективному расходованию средств. Фонд вправе запрашивать у Заемщика документы, подтверждающие рыночное (конкурентное) ценообразование при осуществлении закупки, и обоснование выбора поставщика/исполнителя. При выполнении работ, требующих наличия специальных полномочий (разрешения, лицензии, членство в саморегулируемых организациях и т.д.), Заемщик предоставляет Фонду также документы, подтверждающие наличие у поставщика/исполнителя соответствующей правоспособности. Дополнительно Фонд может запросить у Заемщика подтверждение профессиональных компетенций поставщика/исполнителя при отсутствии соответствующей информации в общедоступных источниках.</w:t>
      </w:r>
    </w:p>
    <w:p w14:paraId="65EFF959" w14:textId="227DC59A"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AE34E9">
        <w:rPr>
          <w:rFonts w:ascii="Times New Roman" w:hAnsi="Times New Roman" w:cs="Times New Roman"/>
          <w:sz w:val="24"/>
          <w:szCs w:val="24"/>
          <w:u w:val="single"/>
        </w:rPr>
        <w:t xml:space="preserve">Вид расхода (1): Заработная плата сотрудников, включая налоги и взносы от ФОТ. </w:t>
      </w:r>
      <w:r w:rsidRPr="00692C49">
        <w:rPr>
          <w:rFonts w:ascii="Times New Roman" w:hAnsi="Times New Roman" w:cs="Times New Roman"/>
          <w:sz w:val="24"/>
          <w:szCs w:val="24"/>
        </w:rPr>
        <w:t>В случае, если выполнение какого-либо направления работ в проекте планируется Заявителем с использованием собственного персонала, в Смете (столбец 1) подлежат указанию панируемые расходы по заработной плате.</w:t>
      </w:r>
    </w:p>
    <w:p w14:paraId="561B0AEF" w14:textId="5BAF1F69"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Расходы по заработной плате могут быть оплачены за счет средств займа в отношении сотрудников Заявителя, деятельность</w:t>
      </w:r>
      <w:r w:rsidR="00513C87">
        <w:rPr>
          <w:rFonts w:ascii="Times New Roman" w:hAnsi="Times New Roman" w:cs="Times New Roman"/>
          <w:sz w:val="24"/>
          <w:szCs w:val="24"/>
        </w:rPr>
        <w:t xml:space="preserve"> которых напрямую связана с про</w:t>
      </w:r>
      <w:r w:rsidRPr="00692C49">
        <w:rPr>
          <w:rFonts w:ascii="Times New Roman" w:hAnsi="Times New Roman" w:cs="Times New Roman"/>
          <w:sz w:val="24"/>
          <w:szCs w:val="24"/>
        </w:rPr>
        <w:t>ектом.</w:t>
      </w:r>
    </w:p>
    <w:p w14:paraId="41089F37" w14:textId="4165A57D"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Средства займа могут быть направлены на выплату собственно заработной платы, налогов, взносов от ФОТ, предусмотренные компенсационные выплаты (доплаты и надбавки компенсационного характера, в том числе за работу в условиях,</w:t>
      </w:r>
      <w:r w:rsidR="00AE34E9">
        <w:rPr>
          <w:rFonts w:ascii="Times New Roman" w:hAnsi="Times New Roman" w:cs="Times New Roman"/>
          <w:sz w:val="24"/>
          <w:szCs w:val="24"/>
        </w:rPr>
        <w:t xml:space="preserve"> </w:t>
      </w:r>
      <w:r w:rsidRPr="00692C49">
        <w:rPr>
          <w:rFonts w:ascii="Times New Roman" w:hAnsi="Times New Roman" w:cs="Times New Roman"/>
          <w:sz w:val="24"/>
          <w:szCs w:val="24"/>
        </w:rPr>
        <w:t>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оплату отпускных и больничных.</w:t>
      </w:r>
    </w:p>
    <w:p w14:paraId="1CEB68D1" w14:textId="00983F15"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Расходы по выплате заработной платы на этапе акцепта платежей по договору целевого займа подлежат подтверждению Заемщиком путем предоставления Фонду приказа о формировании рабочей (проектной) группы или иного документа, определяющего состав сотрудников Заемщика, работающих в проекте или этапе проекта.</w:t>
      </w:r>
    </w:p>
    <w:p w14:paraId="0E20EC20" w14:textId="6BB8B1C3" w:rsidR="00692C49" w:rsidRPr="00E352FA" w:rsidRDefault="00692C49" w:rsidP="00692C49">
      <w:pPr>
        <w:pStyle w:val="a7"/>
        <w:spacing w:before="60" w:after="60" w:line="240" w:lineRule="auto"/>
        <w:ind w:left="0" w:firstLine="567"/>
        <w:jc w:val="both"/>
        <w:rPr>
          <w:rFonts w:ascii="Times New Roman" w:hAnsi="Times New Roman" w:cs="Times New Roman"/>
          <w:sz w:val="24"/>
          <w:szCs w:val="24"/>
          <w:u w:val="single"/>
        </w:rPr>
      </w:pPr>
      <w:r w:rsidRPr="00E352FA">
        <w:rPr>
          <w:rFonts w:ascii="Times New Roman" w:hAnsi="Times New Roman" w:cs="Times New Roman"/>
          <w:sz w:val="24"/>
          <w:szCs w:val="24"/>
          <w:u w:val="single"/>
        </w:rPr>
        <w:t>Вид расхода (2): Работы и услуги, выполняемые третьими лицами, приобретение прав.</w:t>
      </w:r>
    </w:p>
    <w:p w14:paraId="200F4512" w14:textId="77777777"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По данной статье Заявитель указывает расходы, планируемые:</w:t>
      </w:r>
    </w:p>
    <w:p w14:paraId="01B95E14" w14:textId="4C96703B"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для оплаты по договорам подряда, выполнения работ и оказания услуг третьими лицами для Заявителя в интересах проекта, расходов по гражданско-правовым договорам (в том числе с физическими лицами);</w:t>
      </w:r>
    </w:p>
    <w:p w14:paraId="1DA986A3" w14:textId="425C57FB"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для оплаты за приобретаемые для целей проекта права, включая права пользования программным обеспечением, лицензии, патенты.</w:t>
      </w:r>
    </w:p>
    <w:p w14:paraId="0B9ED955" w14:textId="77777777"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Ограничение: </w:t>
      </w:r>
    </w:p>
    <w:p w14:paraId="0A3B3F53" w14:textId="5191D70D" w:rsidR="00692C49" w:rsidRPr="00692C49" w:rsidRDefault="00692C49" w:rsidP="00692C49">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Фонд не рекомендует планировать за счет средств займа платежи в адрес третьих лиц, в отношении которых Заявитель не сможет подтвердить профессиональные компетенции, референции и положительный опыт реализации аналогичных проектов, платежи в адрес компаний, не имеющих подтвержденных полномочий на выполнение данного вида работ (отсутствие разрешений, лицензий, ограничения членства в СРО или иные препятствия), э</w:t>
      </w:r>
      <w:r w:rsidR="008242AB">
        <w:rPr>
          <w:rFonts w:ascii="Times New Roman" w:hAnsi="Times New Roman" w:cs="Times New Roman"/>
          <w:sz w:val="24"/>
          <w:szCs w:val="24"/>
        </w:rPr>
        <w:t>кономически необоснованные в ча</w:t>
      </w:r>
      <w:r w:rsidRPr="00692C49">
        <w:rPr>
          <w:rFonts w:ascii="Times New Roman" w:hAnsi="Times New Roman" w:cs="Times New Roman"/>
          <w:sz w:val="24"/>
          <w:szCs w:val="24"/>
        </w:rPr>
        <w:t>сти определения цены работ, услуг, стоимости приобретаемых прав.</w:t>
      </w:r>
    </w:p>
    <w:p w14:paraId="1DF909DA" w14:textId="77777777" w:rsidR="00692C49" w:rsidRPr="00E4241B" w:rsidRDefault="00692C49" w:rsidP="00692C49">
      <w:pPr>
        <w:pStyle w:val="a7"/>
        <w:spacing w:before="60" w:after="60" w:line="240" w:lineRule="auto"/>
        <w:ind w:left="0" w:firstLine="567"/>
        <w:jc w:val="both"/>
        <w:rPr>
          <w:rFonts w:ascii="Times New Roman" w:hAnsi="Times New Roman" w:cs="Times New Roman"/>
          <w:sz w:val="24"/>
          <w:szCs w:val="24"/>
          <w:u w:val="single"/>
        </w:rPr>
      </w:pPr>
      <w:r w:rsidRPr="00E4241B">
        <w:rPr>
          <w:rFonts w:ascii="Times New Roman" w:hAnsi="Times New Roman" w:cs="Times New Roman"/>
          <w:sz w:val="24"/>
          <w:szCs w:val="24"/>
          <w:u w:val="single"/>
        </w:rPr>
        <w:t>Вид расхода (3): Материалы и комплектующие.</w:t>
      </w:r>
    </w:p>
    <w:p w14:paraId="55326795" w14:textId="7B58F67B" w:rsidR="00692C49" w:rsidRPr="00692C49" w:rsidRDefault="00692C49" w:rsidP="00E4241B">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Данный вид затрат возможен в проекте, е</w:t>
      </w:r>
      <w:r w:rsidR="00E4241B">
        <w:rPr>
          <w:rFonts w:ascii="Times New Roman" w:hAnsi="Times New Roman" w:cs="Times New Roman"/>
          <w:sz w:val="24"/>
          <w:szCs w:val="24"/>
        </w:rPr>
        <w:t>сли Заявитель планирует приобре</w:t>
      </w:r>
      <w:r w:rsidRPr="00692C49">
        <w:rPr>
          <w:rFonts w:ascii="Times New Roman" w:hAnsi="Times New Roman" w:cs="Times New Roman"/>
          <w:sz w:val="24"/>
          <w:szCs w:val="24"/>
        </w:rPr>
        <w:t xml:space="preserve">тение материалов и комплектующих для самостоятельного выполнения работ или для их передачи подрядчику (третьему лицу) для выполнения работ по проекту. </w:t>
      </w:r>
    </w:p>
    <w:p w14:paraId="09609109" w14:textId="0F6207C6" w:rsidR="00692C49" w:rsidRPr="00692C49" w:rsidRDefault="00692C49" w:rsidP="00E4241B">
      <w:pPr>
        <w:spacing w:before="60" w:after="60" w:line="240" w:lineRule="auto"/>
        <w:ind w:firstLine="567"/>
        <w:jc w:val="both"/>
        <w:rPr>
          <w:rFonts w:ascii="Times New Roman" w:hAnsi="Times New Roman" w:cs="Times New Roman"/>
          <w:sz w:val="24"/>
          <w:szCs w:val="24"/>
        </w:rPr>
      </w:pPr>
      <w:r w:rsidRPr="00E4241B">
        <w:rPr>
          <w:rFonts w:ascii="Times New Roman" w:hAnsi="Times New Roman" w:cs="Times New Roman"/>
          <w:sz w:val="24"/>
          <w:szCs w:val="24"/>
        </w:rPr>
        <w:t xml:space="preserve">Приобретаемые за счет средств займа материалы и комплектующие не могут быть </w:t>
      </w:r>
      <w:r w:rsidRPr="00692C49">
        <w:rPr>
          <w:rFonts w:ascii="Times New Roman" w:hAnsi="Times New Roman" w:cs="Times New Roman"/>
          <w:sz w:val="24"/>
          <w:szCs w:val="24"/>
        </w:rPr>
        <w:t>использованы Заявителем для целей капитального строительства в проекте, использования в качестве сырья для серийного выпуска продукта проекта, а также в иных целях, финансирование которых из средств займа не предусмотрено.</w:t>
      </w:r>
    </w:p>
    <w:p w14:paraId="58A8C49C" w14:textId="77777777" w:rsidR="00692C49" w:rsidRPr="00692C49" w:rsidRDefault="00692C49" w:rsidP="00E4241B">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Ограничение: </w:t>
      </w:r>
    </w:p>
    <w:p w14:paraId="4D3C81BB" w14:textId="6BD76F94" w:rsidR="00692C49" w:rsidRPr="00692C49" w:rsidRDefault="00692C49" w:rsidP="00E4241B">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Для обоснования расходов, направленных на приобретение узкоспециализированных групп материалов и комплектующих, в том числе специального обращения, в иных подобных случаях, Фонд рекомендует Заявителям планировать из средств займа расходы в адрес компаний, чьи референции и профессиональные компетенции могут быть документально подтверждены.</w:t>
      </w:r>
    </w:p>
    <w:p w14:paraId="2549C923" w14:textId="77777777" w:rsidR="00692C49" w:rsidRPr="00B10A69" w:rsidRDefault="00692C49" w:rsidP="00B10A69">
      <w:pPr>
        <w:pStyle w:val="a7"/>
        <w:spacing w:before="60" w:after="60" w:line="240" w:lineRule="auto"/>
        <w:ind w:left="0" w:firstLine="567"/>
        <w:rPr>
          <w:rFonts w:ascii="Times New Roman" w:hAnsi="Times New Roman" w:cs="Times New Roman"/>
          <w:sz w:val="24"/>
          <w:szCs w:val="24"/>
          <w:u w:val="single"/>
        </w:rPr>
      </w:pPr>
      <w:r w:rsidRPr="00B10A69">
        <w:rPr>
          <w:rFonts w:ascii="Times New Roman" w:hAnsi="Times New Roman" w:cs="Times New Roman"/>
          <w:sz w:val="24"/>
          <w:szCs w:val="24"/>
          <w:u w:val="single"/>
        </w:rPr>
        <w:t>Вид расхода (4): Приобретение оборудования.</w:t>
      </w:r>
    </w:p>
    <w:p w14:paraId="5634324B" w14:textId="282ED69E" w:rsidR="00692C49" w:rsidRDefault="00692C49" w:rsidP="00B10A69">
      <w:pPr>
        <w:pStyle w:val="a7"/>
        <w:spacing w:before="60" w:after="60" w:line="240" w:lineRule="auto"/>
        <w:ind w:left="0" w:firstLine="567"/>
        <w:rPr>
          <w:rFonts w:ascii="Times New Roman" w:hAnsi="Times New Roman" w:cs="Times New Roman"/>
          <w:sz w:val="24"/>
          <w:szCs w:val="24"/>
        </w:rPr>
      </w:pPr>
      <w:r w:rsidRPr="00692C49">
        <w:rPr>
          <w:rFonts w:ascii="Times New Roman" w:hAnsi="Times New Roman" w:cs="Times New Roman"/>
          <w:sz w:val="24"/>
          <w:szCs w:val="24"/>
        </w:rPr>
        <w:t>В случае, если Заявитель планирует приобретение оборудования за счет средств займа, список такого оборудования должен быть приведен в ТЗ проекта.</w:t>
      </w:r>
    </w:p>
    <w:p w14:paraId="5C28A545" w14:textId="77777777" w:rsidR="006E2342" w:rsidRPr="00692C49" w:rsidRDefault="006E2342" w:rsidP="00B10A69">
      <w:pPr>
        <w:pStyle w:val="a7"/>
        <w:spacing w:before="60" w:after="60" w:line="240" w:lineRule="auto"/>
        <w:ind w:left="0" w:firstLine="567"/>
        <w:rPr>
          <w:rFonts w:ascii="Times New Roman" w:hAnsi="Times New Roman" w:cs="Times New Roman"/>
          <w:sz w:val="24"/>
          <w:szCs w:val="24"/>
        </w:rPr>
      </w:pPr>
    </w:p>
    <w:p w14:paraId="2B7A4CED" w14:textId="77777777" w:rsidR="00692C49" w:rsidRPr="00B10A69" w:rsidRDefault="00692C49" w:rsidP="00B10A69">
      <w:pPr>
        <w:pStyle w:val="a7"/>
        <w:shd w:val="clear" w:color="auto" w:fill="088DBC"/>
        <w:spacing w:before="60" w:after="60" w:line="240" w:lineRule="auto"/>
        <w:ind w:left="-142"/>
        <w:rPr>
          <w:rFonts w:ascii="Times New Roman" w:hAnsi="Times New Roman" w:cs="Times New Roman"/>
          <w:b/>
          <w:bCs/>
          <w:sz w:val="28"/>
          <w:szCs w:val="28"/>
        </w:rPr>
      </w:pPr>
      <w:r w:rsidRPr="00B10A69">
        <w:rPr>
          <w:rFonts w:ascii="Times New Roman" w:hAnsi="Times New Roman" w:cs="Times New Roman"/>
          <w:b/>
          <w:bCs/>
          <w:sz w:val="28"/>
          <w:szCs w:val="28"/>
        </w:rPr>
        <w:t>Распределение средств займа по Направлениям целевого использования (по</w:t>
      </w:r>
    </w:p>
    <w:p w14:paraId="0DE5E63C" w14:textId="77777777" w:rsidR="00692C49" w:rsidRPr="00B10A69" w:rsidRDefault="00692C49" w:rsidP="00B10A69">
      <w:pPr>
        <w:pStyle w:val="a7"/>
        <w:shd w:val="clear" w:color="auto" w:fill="088DBC"/>
        <w:spacing w:before="60" w:after="60" w:line="240" w:lineRule="auto"/>
        <w:ind w:left="-142"/>
        <w:rPr>
          <w:rFonts w:ascii="Times New Roman" w:hAnsi="Times New Roman" w:cs="Times New Roman"/>
          <w:b/>
          <w:bCs/>
          <w:sz w:val="28"/>
          <w:szCs w:val="28"/>
        </w:rPr>
      </w:pPr>
      <w:r w:rsidRPr="00B10A69">
        <w:rPr>
          <w:rFonts w:ascii="Times New Roman" w:hAnsi="Times New Roman" w:cs="Times New Roman"/>
          <w:b/>
          <w:bCs/>
          <w:sz w:val="28"/>
          <w:szCs w:val="28"/>
        </w:rPr>
        <w:t>горизонтальным строкам Сметы)</w:t>
      </w:r>
    </w:p>
    <w:p w14:paraId="63558138" w14:textId="77777777" w:rsidR="006E2342" w:rsidRDefault="006E2342" w:rsidP="00B10A69">
      <w:pPr>
        <w:pStyle w:val="a7"/>
        <w:spacing w:before="60" w:after="60" w:line="240" w:lineRule="auto"/>
        <w:ind w:left="0" w:firstLine="567"/>
        <w:rPr>
          <w:rFonts w:ascii="Times New Roman" w:hAnsi="Times New Roman" w:cs="Times New Roman"/>
          <w:sz w:val="24"/>
          <w:szCs w:val="24"/>
          <w:u w:val="single"/>
        </w:rPr>
      </w:pPr>
    </w:p>
    <w:p w14:paraId="68A53111" w14:textId="4D905283" w:rsidR="00692C49" w:rsidRPr="00465872" w:rsidRDefault="00692C49" w:rsidP="00B10A69">
      <w:pPr>
        <w:pStyle w:val="a7"/>
        <w:spacing w:before="60" w:after="60" w:line="240" w:lineRule="auto"/>
        <w:ind w:left="0" w:firstLine="567"/>
        <w:rPr>
          <w:rFonts w:ascii="Times New Roman" w:hAnsi="Times New Roman" w:cs="Times New Roman"/>
          <w:sz w:val="24"/>
          <w:szCs w:val="24"/>
          <w:u w:val="single"/>
        </w:rPr>
      </w:pPr>
      <w:r w:rsidRPr="00465872">
        <w:rPr>
          <w:rFonts w:ascii="Times New Roman" w:hAnsi="Times New Roman" w:cs="Times New Roman"/>
          <w:sz w:val="24"/>
          <w:szCs w:val="24"/>
          <w:u w:val="single"/>
        </w:rPr>
        <w:t>Статья 1 Сметы. "Научные и иные исследования в интересах проекта, включая аналитические исследования рынка".</w:t>
      </w:r>
    </w:p>
    <w:p w14:paraId="09BA0811" w14:textId="52F3CAF4" w:rsidR="00692C49" w:rsidRPr="00692C49" w:rsidRDefault="00692C49" w:rsidP="000C3A57">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Фонд не финансирует расходы, направленные в проекте на научные и иные исследования, включая аналитические исследования рынка. Расходы, которые предполагает Заявитель по этому направлению, должны быть полностью оплачены за счет средств софинансирования.</w:t>
      </w:r>
    </w:p>
    <w:p w14:paraId="238F5F89" w14:textId="58395E9E" w:rsidR="00692C49" w:rsidRPr="000C3A57" w:rsidRDefault="00692C49" w:rsidP="000C3A57">
      <w:pPr>
        <w:pStyle w:val="a7"/>
        <w:spacing w:before="60" w:after="60" w:line="240" w:lineRule="auto"/>
        <w:ind w:left="0" w:firstLine="567"/>
        <w:jc w:val="both"/>
        <w:rPr>
          <w:rFonts w:ascii="Times New Roman" w:hAnsi="Times New Roman" w:cs="Times New Roman"/>
          <w:sz w:val="24"/>
          <w:szCs w:val="24"/>
          <w:u w:val="single"/>
        </w:rPr>
      </w:pPr>
      <w:r w:rsidRPr="000C3A57">
        <w:rPr>
          <w:rFonts w:ascii="Times New Roman" w:hAnsi="Times New Roman" w:cs="Times New Roman"/>
          <w:sz w:val="24"/>
          <w:szCs w:val="24"/>
          <w:u w:val="single"/>
        </w:rPr>
        <w:t>Статья 2 Сметы. "</w:t>
      </w:r>
      <w:r w:rsidR="000C3A57" w:rsidRPr="000C3A57">
        <w:t xml:space="preserve"> </w:t>
      </w:r>
      <w:r w:rsidR="000C3A57" w:rsidRPr="000C3A57">
        <w:rPr>
          <w:rFonts w:ascii="Times New Roman" w:hAnsi="Times New Roman" w:cs="Times New Roman"/>
          <w:sz w:val="24"/>
          <w:szCs w:val="24"/>
          <w:u w:val="single"/>
        </w:rPr>
        <w:t xml:space="preserve">Разработка и внедрение технологии </w:t>
      </w:r>
      <w:r w:rsidRPr="000C3A57">
        <w:rPr>
          <w:rFonts w:ascii="Times New Roman" w:hAnsi="Times New Roman" w:cs="Times New Roman"/>
          <w:sz w:val="24"/>
          <w:szCs w:val="24"/>
          <w:u w:val="single"/>
        </w:rPr>
        <w:t xml:space="preserve">" </w:t>
      </w:r>
    </w:p>
    <w:p w14:paraId="0CF52DAA" w14:textId="2BEFAF7D" w:rsidR="00692C49" w:rsidRPr="00692C49" w:rsidRDefault="00692C49" w:rsidP="00111E18">
      <w:pPr>
        <w:pStyle w:val="a7"/>
        <w:spacing w:before="60" w:after="60" w:line="240" w:lineRule="auto"/>
        <w:ind w:left="0" w:firstLine="284"/>
        <w:jc w:val="both"/>
        <w:rPr>
          <w:rFonts w:ascii="Times New Roman" w:hAnsi="Times New Roman" w:cs="Times New Roman"/>
          <w:sz w:val="24"/>
          <w:szCs w:val="24"/>
        </w:rPr>
      </w:pPr>
      <w:r w:rsidRPr="00692C49">
        <w:rPr>
          <w:rFonts w:ascii="Times New Roman" w:hAnsi="Times New Roman" w:cs="Times New Roman"/>
          <w:sz w:val="24"/>
          <w:szCs w:val="24"/>
        </w:rPr>
        <w:t>В рамках данной статьи предусмотрено выполнение нескольких видов работ по проекту, в частности:</w:t>
      </w:r>
    </w:p>
    <w:p w14:paraId="34E57899" w14:textId="252C0AF4" w:rsidR="00692C49" w:rsidRPr="00692C49" w:rsidRDefault="00692C49" w:rsidP="00111E18">
      <w:pPr>
        <w:pStyle w:val="a7"/>
        <w:spacing w:before="60" w:after="60" w:line="240" w:lineRule="auto"/>
        <w:ind w:left="0" w:firstLine="284"/>
        <w:jc w:val="both"/>
        <w:rPr>
          <w:rFonts w:ascii="Times New Roman" w:hAnsi="Times New Roman" w:cs="Times New Roman"/>
          <w:sz w:val="24"/>
          <w:szCs w:val="24"/>
        </w:rPr>
      </w:pPr>
      <w:r w:rsidRPr="00692C49">
        <w:rPr>
          <w:rFonts w:ascii="Times New Roman" w:hAnsi="Times New Roman" w:cs="Times New Roman"/>
          <w:sz w:val="24"/>
          <w:szCs w:val="24"/>
        </w:rPr>
        <w:t>2.1. Проведение опытно-технологических работ (ОТР) и опытно-конструкторских работ (ОКР);</w:t>
      </w:r>
    </w:p>
    <w:p w14:paraId="2BA851F7" w14:textId="0DBF995F" w:rsidR="00E522A5" w:rsidRDefault="00692C49" w:rsidP="00111E18">
      <w:pPr>
        <w:pStyle w:val="a7"/>
        <w:spacing w:before="60" w:after="60" w:line="240" w:lineRule="auto"/>
        <w:ind w:left="0" w:firstLine="284"/>
        <w:jc w:val="both"/>
        <w:rPr>
          <w:rFonts w:ascii="Times New Roman" w:hAnsi="Times New Roman" w:cs="Times New Roman"/>
          <w:sz w:val="24"/>
          <w:szCs w:val="24"/>
        </w:rPr>
      </w:pPr>
      <w:r w:rsidRPr="00692C49">
        <w:rPr>
          <w:rFonts w:ascii="Times New Roman" w:hAnsi="Times New Roman" w:cs="Times New Roman"/>
          <w:sz w:val="24"/>
          <w:szCs w:val="24"/>
        </w:rPr>
        <w:t>2.</w:t>
      </w:r>
      <w:r w:rsidR="00CC7C92">
        <w:rPr>
          <w:rFonts w:ascii="Times New Roman" w:hAnsi="Times New Roman" w:cs="Times New Roman"/>
          <w:sz w:val="24"/>
          <w:szCs w:val="24"/>
        </w:rPr>
        <w:t>2</w:t>
      </w:r>
      <w:r w:rsidRPr="00692C49">
        <w:rPr>
          <w:rFonts w:ascii="Times New Roman" w:hAnsi="Times New Roman" w:cs="Times New Roman"/>
          <w:sz w:val="24"/>
          <w:szCs w:val="24"/>
        </w:rPr>
        <w:t>. Контрольно-сертификационные мероприятия, необходимые для реализации проекта</w:t>
      </w:r>
      <w:r w:rsidR="00E522A5">
        <w:rPr>
          <w:rFonts w:ascii="Times New Roman" w:hAnsi="Times New Roman" w:cs="Times New Roman"/>
          <w:sz w:val="24"/>
          <w:szCs w:val="24"/>
        </w:rPr>
        <w:t>.</w:t>
      </w:r>
    </w:p>
    <w:p w14:paraId="787770F3" w14:textId="3214F948" w:rsidR="00692C49" w:rsidRPr="00692C49" w:rsidRDefault="00E522A5" w:rsidP="00111E18">
      <w:pPr>
        <w:spacing w:before="60" w:after="60" w:line="240" w:lineRule="auto"/>
        <w:ind w:firstLine="284"/>
        <w:jc w:val="both"/>
        <w:rPr>
          <w:rFonts w:ascii="Times New Roman" w:hAnsi="Times New Roman" w:cs="Times New Roman"/>
          <w:sz w:val="24"/>
          <w:szCs w:val="24"/>
        </w:rPr>
      </w:pPr>
      <w:r w:rsidRPr="00E522A5">
        <w:rPr>
          <w:rFonts w:ascii="Times New Roman" w:hAnsi="Times New Roman" w:cs="Times New Roman"/>
          <w:sz w:val="24"/>
          <w:szCs w:val="24"/>
        </w:rPr>
        <w:t>Разработка и внедрение технологии</w:t>
      </w:r>
      <w:r w:rsidR="00692C49" w:rsidRPr="00E522A5">
        <w:rPr>
          <w:rFonts w:ascii="Times New Roman" w:hAnsi="Times New Roman" w:cs="Times New Roman"/>
          <w:sz w:val="24"/>
          <w:szCs w:val="24"/>
        </w:rPr>
        <w:t xml:space="preserve"> допускает распределение средств займа </w:t>
      </w:r>
      <w:r w:rsidR="00692C49" w:rsidRPr="00692C49">
        <w:rPr>
          <w:rFonts w:ascii="Times New Roman" w:hAnsi="Times New Roman" w:cs="Times New Roman"/>
          <w:sz w:val="24"/>
          <w:szCs w:val="24"/>
        </w:rPr>
        <w:t>для выплаты заработной платы, оплаты работ и услуг третьих лиц, приобретения прав, приобретения материалов и комплектующих.</w:t>
      </w:r>
    </w:p>
    <w:p w14:paraId="26510654" w14:textId="6827C053" w:rsidR="00692C49" w:rsidRPr="00692C49" w:rsidRDefault="00692C49" w:rsidP="00111E18">
      <w:pPr>
        <w:pStyle w:val="a7"/>
        <w:spacing w:before="60" w:after="60" w:line="240" w:lineRule="auto"/>
        <w:ind w:left="0" w:firstLine="284"/>
        <w:jc w:val="both"/>
        <w:rPr>
          <w:rFonts w:ascii="Times New Roman" w:hAnsi="Times New Roman" w:cs="Times New Roman"/>
          <w:sz w:val="24"/>
          <w:szCs w:val="24"/>
        </w:rPr>
      </w:pPr>
      <w:r w:rsidRPr="00692C49">
        <w:rPr>
          <w:rFonts w:ascii="Times New Roman" w:hAnsi="Times New Roman" w:cs="Times New Roman"/>
          <w:sz w:val="24"/>
          <w:szCs w:val="24"/>
        </w:rPr>
        <w:t xml:space="preserve">Объем мероприятий по </w:t>
      </w:r>
      <w:r w:rsidR="00E522A5">
        <w:rPr>
          <w:rFonts w:ascii="Times New Roman" w:hAnsi="Times New Roman" w:cs="Times New Roman"/>
          <w:sz w:val="24"/>
          <w:szCs w:val="24"/>
        </w:rPr>
        <w:t>Разработке</w:t>
      </w:r>
      <w:r w:rsidR="00E522A5" w:rsidRPr="00E522A5">
        <w:rPr>
          <w:rFonts w:ascii="Times New Roman" w:hAnsi="Times New Roman" w:cs="Times New Roman"/>
          <w:sz w:val="24"/>
          <w:szCs w:val="24"/>
        </w:rPr>
        <w:t xml:space="preserve"> и внедрени</w:t>
      </w:r>
      <w:r w:rsidR="00E522A5">
        <w:rPr>
          <w:rFonts w:ascii="Times New Roman" w:hAnsi="Times New Roman" w:cs="Times New Roman"/>
          <w:sz w:val="24"/>
          <w:szCs w:val="24"/>
        </w:rPr>
        <w:t>ю</w:t>
      </w:r>
      <w:r w:rsidR="00E522A5" w:rsidRPr="00E522A5">
        <w:rPr>
          <w:rFonts w:ascii="Times New Roman" w:hAnsi="Times New Roman" w:cs="Times New Roman"/>
          <w:sz w:val="24"/>
          <w:szCs w:val="24"/>
        </w:rPr>
        <w:t xml:space="preserve"> технологии </w:t>
      </w:r>
      <w:r w:rsidR="00E522A5">
        <w:rPr>
          <w:rFonts w:ascii="Times New Roman" w:hAnsi="Times New Roman" w:cs="Times New Roman"/>
          <w:sz w:val="24"/>
          <w:szCs w:val="24"/>
        </w:rPr>
        <w:t>должен быть опи</w:t>
      </w:r>
      <w:r w:rsidRPr="00692C49">
        <w:rPr>
          <w:rFonts w:ascii="Times New Roman" w:hAnsi="Times New Roman" w:cs="Times New Roman"/>
          <w:sz w:val="24"/>
          <w:szCs w:val="24"/>
        </w:rPr>
        <w:t>сан в Техническом задании по проекту (с указанием целей, этапов и результатов разработки), а основные этапы выполнения отражены в Календарном плане проекта.</w:t>
      </w:r>
    </w:p>
    <w:p w14:paraId="3AB81B2D" w14:textId="1DEE9D4C" w:rsidR="00692C49" w:rsidRPr="00692C49" w:rsidRDefault="00692C49" w:rsidP="00111E18">
      <w:pPr>
        <w:pStyle w:val="a7"/>
        <w:spacing w:before="60" w:after="60" w:line="240" w:lineRule="auto"/>
        <w:ind w:left="0" w:firstLine="284"/>
        <w:jc w:val="both"/>
        <w:rPr>
          <w:rFonts w:ascii="Times New Roman" w:hAnsi="Times New Roman" w:cs="Times New Roman"/>
          <w:sz w:val="24"/>
          <w:szCs w:val="24"/>
        </w:rPr>
      </w:pPr>
      <w:r w:rsidRPr="00692C49">
        <w:rPr>
          <w:rFonts w:ascii="Times New Roman" w:hAnsi="Times New Roman" w:cs="Times New Roman"/>
          <w:sz w:val="24"/>
          <w:szCs w:val="24"/>
        </w:rPr>
        <w:t>К выполнению работ возможно привлечение третьих лиц, однако, с учетом специфики данного направления расходования средств, компетенции подрядчиков и исполнителей должны быть очевидны (сертифицирующие органы, проектные и исследовательские институты, инжиниринговые компании с опытом работы, т.п.).</w:t>
      </w:r>
    </w:p>
    <w:p w14:paraId="6E2792F2" w14:textId="6A7FA22B" w:rsidR="00692C49" w:rsidRPr="00BB01B7" w:rsidRDefault="00692C49" w:rsidP="00E522A5">
      <w:pPr>
        <w:pStyle w:val="a7"/>
        <w:spacing w:before="60" w:after="60" w:line="240" w:lineRule="auto"/>
        <w:ind w:left="0" w:firstLine="567"/>
        <w:jc w:val="both"/>
        <w:rPr>
          <w:rFonts w:ascii="Times New Roman" w:hAnsi="Times New Roman" w:cs="Times New Roman"/>
          <w:sz w:val="24"/>
          <w:szCs w:val="24"/>
          <w:u w:val="single"/>
        </w:rPr>
      </w:pPr>
      <w:r w:rsidRPr="00BB01B7">
        <w:rPr>
          <w:rFonts w:ascii="Times New Roman" w:hAnsi="Times New Roman" w:cs="Times New Roman"/>
          <w:sz w:val="24"/>
          <w:szCs w:val="24"/>
          <w:u w:val="single"/>
        </w:rPr>
        <w:t>Статья 3 Сметы.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251A8249" w14:textId="633442C7" w:rsidR="00692C49" w:rsidRPr="00692C49" w:rsidRDefault="00692C49" w:rsidP="00E522A5">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Состав оборудования, перечень специальных видов работ, которые Заявитель предполагает произвести на нем, должен быть указан в Техническом задании по проекту. Результаты таких работ должны быть поименованы в Календарном плане.</w:t>
      </w:r>
    </w:p>
    <w:p w14:paraId="36F9DE23" w14:textId="635F0B0F" w:rsidR="00692C49" w:rsidRPr="00692C49" w:rsidRDefault="00692C49" w:rsidP="00E522A5">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Средства займа по данному направлению </w:t>
      </w:r>
      <w:r w:rsidR="003F03CE">
        <w:rPr>
          <w:rFonts w:ascii="Times New Roman" w:hAnsi="Times New Roman" w:cs="Times New Roman"/>
          <w:sz w:val="24"/>
          <w:szCs w:val="24"/>
        </w:rPr>
        <w:t>могут быть использованы как собс</w:t>
      </w:r>
      <w:r w:rsidRPr="00692C49">
        <w:rPr>
          <w:rFonts w:ascii="Times New Roman" w:hAnsi="Times New Roman" w:cs="Times New Roman"/>
          <w:sz w:val="24"/>
          <w:szCs w:val="24"/>
        </w:rPr>
        <w:t>твенно на приобретение оборудования (код ЦРС 3.4), так и на оплату иных видов работ:</w:t>
      </w:r>
    </w:p>
    <w:p w14:paraId="2ACBC812" w14:textId="179D6BCB" w:rsidR="00692C49" w:rsidRPr="00692C49" w:rsidRDefault="00692C49" w:rsidP="00E522A5">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 оплату труда персонала Заявителя (код ЦРС 3.1): для проведения тендеров по выбору поставщиков оборудования, для оплаты труда собственной монтажной бригады и т. п., </w:t>
      </w:r>
    </w:p>
    <w:p w14:paraId="3CE0DA7E" w14:textId="5B560FE6" w:rsidR="00692C49" w:rsidRPr="00692C49" w:rsidRDefault="00692C49" w:rsidP="00E522A5">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оплату работ и услуг третьих лиц и приобретение прав (код ЦРС 3.2): оплата подрядчикам для монтажа оборудования, пуска в эксплуатацию</w:t>
      </w:r>
      <w:r w:rsidR="00111E18">
        <w:rPr>
          <w:rFonts w:ascii="Times New Roman" w:hAnsi="Times New Roman" w:cs="Times New Roman"/>
          <w:sz w:val="24"/>
          <w:szCs w:val="24"/>
        </w:rPr>
        <w:t xml:space="preserve">; </w:t>
      </w:r>
      <w:r w:rsidRPr="00692C49">
        <w:rPr>
          <w:rFonts w:ascii="Times New Roman" w:hAnsi="Times New Roman" w:cs="Times New Roman"/>
          <w:sz w:val="24"/>
          <w:szCs w:val="24"/>
        </w:rPr>
        <w:t>оплата специального программного обеспечения и иных сопутствующих запуску оборудования расходов (иск</w:t>
      </w:r>
      <w:r w:rsidR="003F03CE">
        <w:rPr>
          <w:rFonts w:ascii="Times New Roman" w:hAnsi="Times New Roman" w:cs="Times New Roman"/>
          <w:sz w:val="24"/>
          <w:szCs w:val="24"/>
        </w:rPr>
        <w:t>лючая затраты, связанные с капи</w:t>
      </w:r>
      <w:r w:rsidRPr="00692C49">
        <w:rPr>
          <w:rFonts w:ascii="Times New Roman" w:hAnsi="Times New Roman" w:cs="Times New Roman"/>
          <w:sz w:val="24"/>
          <w:szCs w:val="24"/>
        </w:rPr>
        <w:t>тальным строительством);</w:t>
      </w:r>
    </w:p>
    <w:p w14:paraId="3CAC66B9" w14:textId="4E0553A6" w:rsidR="00692C49" w:rsidRPr="00692C49" w:rsidRDefault="00692C49" w:rsidP="00E522A5">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приобретение материалов и комплектующих (код ЦРС 3.3) для монтажа, тестовых испытаний, ввода в эксплуатацию, включая сырье в объеме, необходимом для проведения испытаний данного оборудования (порядок испытаний перед вводом в эксп</w:t>
      </w:r>
      <w:r w:rsidR="007C0159">
        <w:rPr>
          <w:rFonts w:ascii="Times New Roman" w:hAnsi="Times New Roman" w:cs="Times New Roman"/>
          <w:sz w:val="24"/>
          <w:szCs w:val="24"/>
        </w:rPr>
        <w:t>луатацию, как правило, определя</w:t>
      </w:r>
      <w:r w:rsidRPr="00692C49">
        <w:rPr>
          <w:rFonts w:ascii="Times New Roman" w:hAnsi="Times New Roman" w:cs="Times New Roman"/>
          <w:sz w:val="24"/>
          <w:szCs w:val="24"/>
        </w:rPr>
        <w:t>ется контрактом на поставку оборудования).</w:t>
      </w:r>
    </w:p>
    <w:p w14:paraId="3CED9A4E" w14:textId="31B057FB" w:rsidR="00692C49" w:rsidRPr="007C0159" w:rsidRDefault="00692C49" w:rsidP="00E522A5">
      <w:pPr>
        <w:pStyle w:val="a7"/>
        <w:spacing w:before="60" w:after="60" w:line="240" w:lineRule="auto"/>
        <w:ind w:left="0" w:firstLine="567"/>
        <w:jc w:val="both"/>
        <w:rPr>
          <w:rFonts w:ascii="Times New Roman" w:hAnsi="Times New Roman" w:cs="Times New Roman"/>
          <w:sz w:val="24"/>
          <w:szCs w:val="24"/>
          <w:u w:val="single"/>
        </w:rPr>
      </w:pPr>
      <w:r w:rsidRPr="007C0159">
        <w:rPr>
          <w:rFonts w:ascii="Times New Roman" w:hAnsi="Times New Roman" w:cs="Times New Roman"/>
          <w:sz w:val="24"/>
          <w:szCs w:val="24"/>
          <w:u w:val="single"/>
        </w:rPr>
        <w:t>Статья 4 Сметы. "Разработка технико-эко</w:t>
      </w:r>
      <w:r w:rsidR="007C0159" w:rsidRPr="007C0159">
        <w:rPr>
          <w:rFonts w:ascii="Times New Roman" w:hAnsi="Times New Roman" w:cs="Times New Roman"/>
          <w:sz w:val="24"/>
          <w:szCs w:val="24"/>
          <w:u w:val="single"/>
        </w:rPr>
        <w:t>номического обоснования инвести</w:t>
      </w:r>
      <w:r w:rsidRPr="007C0159">
        <w:rPr>
          <w:rFonts w:ascii="Times New Roman" w:hAnsi="Times New Roman" w:cs="Times New Roman"/>
          <w:sz w:val="24"/>
          <w:szCs w:val="24"/>
          <w:u w:val="single"/>
        </w:rPr>
        <w:t>ционной стадии проекта, предынвестиционны</w:t>
      </w:r>
      <w:r w:rsidR="007C0159" w:rsidRPr="007C0159">
        <w:rPr>
          <w:rFonts w:ascii="Times New Roman" w:hAnsi="Times New Roman" w:cs="Times New Roman"/>
          <w:sz w:val="24"/>
          <w:szCs w:val="24"/>
          <w:u w:val="single"/>
        </w:rPr>
        <w:t>й анализ и оптимизация про</w:t>
      </w:r>
      <w:r w:rsidRPr="007C0159">
        <w:rPr>
          <w:rFonts w:ascii="Times New Roman" w:hAnsi="Times New Roman" w:cs="Times New Roman"/>
          <w:sz w:val="24"/>
          <w:szCs w:val="24"/>
          <w:u w:val="single"/>
        </w:rPr>
        <w:t>екта, не включая расходы на аналитические исследования рынка".</w:t>
      </w:r>
    </w:p>
    <w:p w14:paraId="024566AD" w14:textId="77777777" w:rsidR="00692C49" w:rsidRPr="00692C49" w:rsidRDefault="00692C49" w:rsidP="00113C46">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По статье могут быть предусмотрены расходы:</w:t>
      </w:r>
    </w:p>
    <w:p w14:paraId="5945CFD5" w14:textId="75274ABC" w:rsidR="00692C49" w:rsidRPr="00692C49" w:rsidRDefault="00692C49" w:rsidP="00113C46">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код ЦРС 4.1 – на оплату труда сотрудников Заявителя, связанных с разработкой ТЭО проекта, маркетинговых и аналитических рабочих групп Заявителя, чья деятельность связана с проектом и получением конкретного результата. Деятельность подлежит описанию в ТЗ проекта, а результат отражению в Календарном плане проекта;</w:t>
      </w:r>
    </w:p>
    <w:p w14:paraId="6642F106" w14:textId="35B0F51C" w:rsidR="00692C49" w:rsidRPr="00692C49" w:rsidRDefault="00692C49" w:rsidP="00113C46">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ЦРС 4.2 - на оплату работ и услуг, выполняемых третьим лицами (аналитики, консалтинг, прочее).</w:t>
      </w:r>
    </w:p>
    <w:p w14:paraId="010B1358" w14:textId="7A59036C" w:rsidR="00692C49" w:rsidRPr="00B117D7" w:rsidRDefault="00692C49" w:rsidP="004323BF">
      <w:pPr>
        <w:pStyle w:val="a7"/>
        <w:spacing w:before="60" w:after="60" w:line="240" w:lineRule="auto"/>
        <w:ind w:left="0" w:firstLine="567"/>
        <w:jc w:val="both"/>
        <w:rPr>
          <w:rFonts w:ascii="Times New Roman" w:hAnsi="Times New Roman" w:cs="Times New Roman"/>
          <w:sz w:val="24"/>
          <w:szCs w:val="24"/>
          <w:u w:val="single"/>
        </w:rPr>
      </w:pPr>
      <w:r w:rsidRPr="00B117D7">
        <w:rPr>
          <w:rFonts w:ascii="Times New Roman" w:hAnsi="Times New Roman" w:cs="Times New Roman"/>
          <w:sz w:val="24"/>
          <w:szCs w:val="24"/>
          <w:u w:val="single"/>
        </w:rPr>
        <w:t>Статья 5 Сметы. "Приобретение прав на результаты интеллектуальной деятельности (лицензий и патентов) у</w:t>
      </w:r>
      <w:r w:rsidR="00B117D7" w:rsidRPr="00B117D7">
        <w:rPr>
          <w:rFonts w:ascii="Times New Roman" w:hAnsi="Times New Roman" w:cs="Times New Roman"/>
          <w:sz w:val="24"/>
          <w:szCs w:val="24"/>
          <w:u w:val="single"/>
        </w:rPr>
        <w:t xml:space="preserve"> российских или иностранных пра</w:t>
      </w:r>
      <w:r w:rsidRPr="00B117D7">
        <w:rPr>
          <w:rFonts w:ascii="Times New Roman" w:hAnsi="Times New Roman" w:cs="Times New Roman"/>
          <w:sz w:val="24"/>
          <w:szCs w:val="24"/>
          <w:u w:val="single"/>
        </w:rPr>
        <w:t>вообладателей".</w:t>
      </w:r>
    </w:p>
    <w:p w14:paraId="758EB8FE" w14:textId="07AF2F4E"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За счет средств займа (ЦРС 5.2) предусмотрено приобретение патентов, лицензий, прав на использование специального программного обеспечения (исключительных и неисключительных лицензий), прав на изобретения, полезные модели,</w:t>
      </w:r>
      <w:r w:rsidR="004323BF">
        <w:rPr>
          <w:rFonts w:ascii="Times New Roman" w:hAnsi="Times New Roman" w:cs="Times New Roman"/>
          <w:sz w:val="24"/>
          <w:szCs w:val="24"/>
        </w:rPr>
        <w:t xml:space="preserve"> </w:t>
      </w:r>
      <w:r w:rsidRPr="00692C49">
        <w:rPr>
          <w:rFonts w:ascii="Times New Roman" w:hAnsi="Times New Roman" w:cs="Times New Roman"/>
          <w:sz w:val="24"/>
          <w:szCs w:val="24"/>
        </w:rPr>
        <w:t>секреты производства (ноу-хау), товарные знаки и знаки обслуживания.</w:t>
      </w:r>
    </w:p>
    <w:p w14:paraId="0113F314" w14:textId="4BE10655"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Стоимость приобретения должна быть экономически целесообразной и обоснованной, а продавец нематериального актива иметь квалификацию и референции в соответствующей области, подтвержденные права на результаты интеллектуальной деятельности.</w:t>
      </w:r>
    </w:p>
    <w:p w14:paraId="21A21EFF" w14:textId="12BCD98E"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Приобретаемый актив должен быть напрямую связан с проектом, его целями и задачами.</w:t>
      </w:r>
    </w:p>
    <w:p w14:paraId="075F6754" w14:textId="0A784F3F"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Планы и цели приобретения названных нематериальных активов должны быть отражены в Техническом задании по проекту, а сроки планируемых приобретений – в Календарном плане.</w:t>
      </w:r>
    </w:p>
    <w:p w14:paraId="720BC0AD" w14:textId="77777777" w:rsidR="00692C49" w:rsidRPr="004323BF" w:rsidRDefault="00692C49" w:rsidP="004323BF">
      <w:pPr>
        <w:pStyle w:val="a7"/>
        <w:spacing w:before="60" w:after="60" w:line="240" w:lineRule="auto"/>
        <w:ind w:left="0" w:firstLine="567"/>
        <w:jc w:val="both"/>
        <w:rPr>
          <w:rFonts w:ascii="Times New Roman" w:hAnsi="Times New Roman" w:cs="Times New Roman"/>
          <w:sz w:val="24"/>
          <w:szCs w:val="24"/>
          <w:u w:val="single"/>
        </w:rPr>
      </w:pPr>
      <w:r w:rsidRPr="004323BF">
        <w:rPr>
          <w:rFonts w:ascii="Times New Roman" w:hAnsi="Times New Roman" w:cs="Times New Roman"/>
          <w:sz w:val="24"/>
          <w:szCs w:val="24"/>
          <w:u w:val="single"/>
        </w:rPr>
        <w:t>Статья 6 Сметы. "Инжиниринг".</w:t>
      </w:r>
    </w:p>
    <w:p w14:paraId="47EBB1C5" w14:textId="39CABF7D"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Статья предусматривает возможность расхо</w:t>
      </w:r>
      <w:r w:rsidR="004323BF">
        <w:rPr>
          <w:rFonts w:ascii="Times New Roman" w:hAnsi="Times New Roman" w:cs="Times New Roman"/>
          <w:sz w:val="24"/>
          <w:szCs w:val="24"/>
        </w:rPr>
        <w:t>дов за счет средств займа по не</w:t>
      </w:r>
      <w:r w:rsidRPr="00692C49">
        <w:rPr>
          <w:rFonts w:ascii="Times New Roman" w:hAnsi="Times New Roman" w:cs="Times New Roman"/>
          <w:sz w:val="24"/>
          <w:szCs w:val="24"/>
        </w:rPr>
        <w:t>скольким направлениям целевого использования:</w:t>
      </w:r>
    </w:p>
    <w:p w14:paraId="4DAED3EF" w14:textId="0EEAC0A1"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6.1.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4FE2DBE2" w14:textId="3A95A564"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6.</w:t>
      </w:r>
      <w:r w:rsidR="004323BF">
        <w:rPr>
          <w:rFonts w:ascii="Times New Roman" w:hAnsi="Times New Roman" w:cs="Times New Roman"/>
          <w:sz w:val="24"/>
          <w:szCs w:val="24"/>
        </w:rPr>
        <w:t>2</w:t>
      </w:r>
      <w:r w:rsidRPr="00692C49">
        <w:rPr>
          <w:rFonts w:ascii="Times New Roman" w:hAnsi="Times New Roman" w:cs="Times New Roman"/>
          <w:sz w:val="24"/>
          <w:szCs w:val="24"/>
        </w:rPr>
        <w:t>. Разработка проектной документации для объектов капитального строительства, включая проведе</w:t>
      </w:r>
      <w:r w:rsidR="004323BF">
        <w:rPr>
          <w:rFonts w:ascii="Times New Roman" w:hAnsi="Times New Roman" w:cs="Times New Roman"/>
          <w:sz w:val="24"/>
          <w:szCs w:val="24"/>
        </w:rPr>
        <w:t>ние экологических и иных необхо</w:t>
      </w:r>
      <w:r w:rsidRPr="00692C49">
        <w:rPr>
          <w:rFonts w:ascii="Times New Roman" w:hAnsi="Times New Roman" w:cs="Times New Roman"/>
          <w:sz w:val="24"/>
          <w:szCs w:val="24"/>
        </w:rPr>
        <w:t>димых экспертиз, получение необходимых заключений санитарно</w:t>
      </w:r>
      <w:r w:rsidR="004323BF">
        <w:rPr>
          <w:rFonts w:ascii="Times New Roman" w:hAnsi="Times New Roman" w:cs="Times New Roman"/>
          <w:sz w:val="24"/>
          <w:szCs w:val="24"/>
        </w:rPr>
        <w:t>-</w:t>
      </w:r>
      <w:r w:rsidRPr="00692C49">
        <w:rPr>
          <w:rFonts w:ascii="Times New Roman" w:hAnsi="Times New Roman" w:cs="Times New Roman"/>
          <w:sz w:val="24"/>
          <w:szCs w:val="24"/>
        </w:rPr>
        <w:t xml:space="preserve">эпидемиологической, пожарной и </w:t>
      </w:r>
      <w:r w:rsidR="004323BF">
        <w:rPr>
          <w:rFonts w:ascii="Times New Roman" w:hAnsi="Times New Roman" w:cs="Times New Roman"/>
          <w:sz w:val="24"/>
          <w:szCs w:val="24"/>
        </w:rPr>
        <w:t>иных служб, подготовку и получе</w:t>
      </w:r>
      <w:r w:rsidRPr="00692C49">
        <w:rPr>
          <w:rFonts w:ascii="Times New Roman" w:hAnsi="Times New Roman" w:cs="Times New Roman"/>
          <w:sz w:val="24"/>
          <w:szCs w:val="24"/>
        </w:rPr>
        <w:t>ние разрешения на осуществле</w:t>
      </w:r>
      <w:r w:rsidR="004323BF">
        <w:rPr>
          <w:rFonts w:ascii="Times New Roman" w:hAnsi="Times New Roman" w:cs="Times New Roman"/>
          <w:sz w:val="24"/>
          <w:szCs w:val="24"/>
        </w:rPr>
        <w:t>ние градостроительной деятельно</w:t>
      </w:r>
      <w:r w:rsidRPr="00692C49">
        <w:rPr>
          <w:rFonts w:ascii="Times New Roman" w:hAnsi="Times New Roman" w:cs="Times New Roman"/>
          <w:sz w:val="24"/>
          <w:szCs w:val="24"/>
        </w:rPr>
        <w:t>сти.</w:t>
      </w:r>
    </w:p>
    <w:p w14:paraId="54C678B5" w14:textId="3887BBCD"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По каждому из перечисленных направлений целевого использования могут быть предусмотрены расходы:</w:t>
      </w:r>
    </w:p>
    <w:p w14:paraId="5D11A992" w14:textId="77777777"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на оплату труда сотрудников Заявителя;</w:t>
      </w:r>
    </w:p>
    <w:p w14:paraId="09A31C83" w14:textId="0F2B20E0"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 на оплату работ и услуг, </w:t>
      </w:r>
      <w:r w:rsidR="004323BF">
        <w:rPr>
          <w:rFonts w:ascii="Times New Roman" w:hAnsi="Times New Roman" w:cs="Times New Roman"/>
          <w:sz w:val="24"/>
          <w:szCs w:val="24"/>
        </w:rPr>
        <w:t>выполняемых третьим лицами, при</w:t>
      </w:r>
      <w:r w:rsidRPr="00692C49">
        <w:rPr>
          <w:rFonts w:ascii="Times New Roman" w:hAnsi="Times New Roman" w:cs="Times New Roman"/>
          <w:sz w:val="24"/>
          <w:szCs w:val="24"/>
        </w:rPr>
        <w:t>обретение прав;</w:t>
      </w:r>
    </w:p>
    <w:p w14:paraId="5189723B" w14:textId="77777777"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на приобретение материалов.</w:t>
      </w:r>
    </w:p>
    <w:p w14:paraId="354D89DF" w14:textId="662E95E7"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При выполнении</w:t>
      </w:r>
      <w:r w:rsidR="004323BF">
        <w:rPr>
          <w:rFonts w:ascii="Times New Roman" w:hAnsi="Times New Roman" w:cs="Times New Roman"/>
          <w:sz w:val="24"/>
          <w:szCs w:val="24"/>
        </w:rPr>
        <w:t xml:space="preserve"> </w:t>
      </w:r>
      <w:r w:rsidRPr="00692C49">
        <w:rPr>
          <w:rFonts w:ascii="Times New Roman" w:hAnsi="Times New Roman" w:cs="Times New Roman"/>
          <w:sz w:val="24"/>
          <w:szCs w:val="24"/>
        </w:rPr>
        <w:t>мероприятий по адаптации технологического оборудования или инженерных коммуникаций собственными силами Заявитель вправе запланировать расходы на оплату персонала (код ЦРС 6.1.1) и, если это требуется по проекту, на приобретение материалов и комплектующих, используемых для инжиниринговой деятельности (код ЦРС 6.1.3).</w:t>
      </w:r>
    </w:p>
    <w:p w14:paraId="53C6DC59" w14:textId="5CC377E5"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При привлечении подрядчиков для разработки проектной документации для объектов </w:t>
      </w:r>
      <w:proofErr w:type="spellStart"/>
      <w:proofErr w:type="gramStart"/>
      <w:r w:rsidRPr="00692C49">
        <w:rPr>
          <w:rFonts w:ascii="Times New Roman" w:hAnsi="Times New Roman" w:cs="Times New Roman"/>
          <w:sz w:val="24"/>
          <w:szCs w:val="24"/>
        </w:rPr>
        <w:t>капи</w:t>
      </w:r>
      <w:r w:rsidR="00111E18">
        <w:rPr>
          <w:rFonts w:ascii="Times New Roman" w:hAnsi="Times New Roman" w:cs="Times New Roman"/>
          <w:sz w:val="24"/>
          <w:szCs w:val="24"/>
        </w:rPr>
        <w:t>-</w:t>
      </w:r>
      <w:r w:rsidRPr="00692C49">
        <w:rPr>
          <w:rFonts w:ascii="Times New Roman" w:hAnsi="Times New Roman" w:cs="Times New Roman"/>
          <w:sz w:val="24"/>
          <w:szCs w:val="24"/>
        </w:rPr>
        <w:t>тального</w:t>
      </w:r>
      <w:proofErr w:type="spellEnd"/>
      <w:proofErr w:type="gramEnd"/>
      <w:r w:rsidRPr="00692C49">
        <w:rPr>
          <w:rFonts w:ascii="Times New Roman" w:hAnsi="Times New Roman" w:cs="Times New Roman"/>
          <w:sz w:val="24"/>
          <w:szCs w:val="24"/>
        </w:rPr>
        <w:t xml:space="preserve"> строительства включительно до стадии "Проектная документация" стоимость их работ также может быть оплачена из средств займа (код ЦРС </w:t>
      </w:r>
      <w:r w:rsidRPr="007911C5">
        <w:rPr>
          <w:rFonts w:ascii="Times New Roman" w:hAnsi="Times New Roman" w:cs="Times New Roman"/>
          <w:sz w:val="24"/>
          <w:szCs w:val="24"/>
        </w:rPr>
        <w:t>6.</w:t>
      </w:r>
      <w:r w:rsidR="005A0A7B" w:rsidRPr="007911C5">
        <w:rPr>
          <w:rFonts w:ascii="Times New Roman" w:hAnsi="Times New Roman" w:cs="Times New Roman"/>
          <w:sz w:val="24"/>
          <w:szCs w:val="24"/>
        </w:rPr>
        <w:t>2</w:t>
      </w:r>
      <w:r w:rsidRPr="007911C5">
        <w:rPr>
          <w:rFonts w:ascii="Times New Roman" w:hAnsi="Times New Roman" w:cs="Times New Roman"/>
          <w:sz w:val="24"/>
          <w:szCs w:val="24"/>
        </w:rPr>
        <w:t>.</w:t>
      </w:r>
      <w:r w:rsidRPr="00692C49">
        <w:rPr>
          <w:rFonts w:ascii="Times New Roman" w:hAnsi="Times New Roman" w:cs="Times New Roman"/>
          <w:sz w:val="24"/>
          <w:szCs w:val="24"/>
        </w:rPr>
        <w:t>2). С учетом того, что деятельность п</w:t>
      </w:r>
      <w:r w:rsidR="004323BF">
        <w:rPr>
          <w:rFonts w:ascii="Times New Roman" w:hAnsi="Times New Roman" w:cs="Times New Roman"/>
          <w:sz w:val="24"/>
          <w:szCs w:val="24"/>
        </w:rPr>
        <w:t>о данному направлению расходова</w:t>
      </w:r>
      <w:r w:rsidRPr="00692C49">
        <w:rPr>
          <w:rFonts w:ascii="Times New Roman" w:hAnsi="Times New Roman" w:cs="Times New Roman"/>
          <w:sz w:val="24"/>
          <w:szCs w:val="24"/>
        </w:rPr>
        <w:t xml:space="preserve">ния средств носит специальный характер, компетенции, опыт </w:t>
      </w:r>
      <w:proofErr w:type="spellStart"/>
      <w:proofErr w:type="gramStart"/>
      <w:r w:rsidRPr="00692C49">
        <w:rPr>
          <w:rFonts w:ascii="Times New Roman" w:hAnsi="Times New Roman" w:cs="Times New Roman"/>
          <w:sz w:val="24"/>
          <w:szCs w:val="24"/>
        </w:rPr>
        <w:t>ра</w:t>
      </w:r>
      <w:proofErr w:type="spellEnd"/>
      <w:r w:rsidR="00111E18">
        <w:rPr>
          <w:rFonts w:ascii="Times New Roman" w:hAnsi="Times New Roman" w:cs="Times New Roman"/>
          <w:sz w:val="24"/>
          <w:szCs w:val="24"/>
        </w:rPr>
        <w:t>-</w:t>
      </w:r>
      <w:r w:rsidRPr="00692C49">
        <w:rPr>
          <w:rFonts w:ascii="Times New Roman" w:hAnsi="Times New Roman" w:cs="Times New Roman"/>
          <w:sz w:val="24"/>
          <w:szCs w:val="24"/>
        </w:rPr>
        <w:t>бот</w:t>
      </w:r>
      <w:proofErr w:type="gramEnd"/>
      <w:r w:rsidRPr="00692C49">
        <w:rPr>
          <w:rFonts w:ascii="Times New Roman" w:hAnsi="Times New Roman" w:cs="Times New Roman"/>
          <w:sz w:val="24"/>
          <w:szCs w:val="24"/>
        </w:rPr>
        <w:t>, членство в СРО, положительные референции по аналогичным проектам и видам работ должны быть заранее подтверждены Заявителем и при необходимости по запросу - представлены Фонду.</w:t>
      </w:r>
    </w:p>
    <w:p w14:paraId="0F002338" w14:textId="77777777" w:rsidR="00692C49" w:rsidRPr="004E257E" w:rsidRDefault="00692C49" w:rsidP="004323BF">
      <w:pPr>
        <w:pStyle w:val="a7"/>
        <w:spacing w:before="60" w:after="60" w:line="240" w:lineRule="auto"/>
        <w:ind w:left="0" w:firstLine="567"/>
        <w:jc w:val="both"/>
        <w:rPr>
          <w:rFonts w:ascii="Times New Roman" w:hAnsi="Times New Roman" w:cs="Times New Roman"/>
          <w:sz w:val="24"/>
          <w:szCs w:val="24"/>
          <w:u w:val="single"/>
        </w:rPr>
      </w:pPr>
      <w:r w:rsidRPr="004E257E">
        <w:rPr>
          <w:rFonts w:ascii="Times New Roman" w:hAnsi="Times New Roman" w:cs="Times New Roman"/>
          <w:sz w:val="24"/>
          <w:szCs w:val="24"/>
          <w:u w:val="single"/>
        </w:rPr>
        <w:t>Статья 7 Сметы. "Государственная экспертиза проектной документации".</w:t>
      </w:r>
    </w:p>
    <w:p w14:paraId="1353C981" w14:textId="1C592330" w:rsidR="00692C49" w:rsidRPr="004E257E" w:rsidRDefault="00692C49" w:rsidP="004323BF">
      <w:pPr>
        <w:pStyle w:val="a7"/>
        <w:spacing w:before="60" w:after="60" w:line="240" w:lineRule="auto"/>
        <w:ind w:left="0" w:firstLine="567"/>
        <w:jc w:val="both"/>
        <w:rPr>
          <w:rFonts w:ascii="Times New Roman" w:hAnsi="Times New Roman" w:cs="Times New Roman"/>
          <w:sz w:val="24"/>
          <w:szCs w:val="24"/>
          <w:u w:val="single"/>
        </w:rPr>
      </w:pPr>
      <w:r w:rsidRPr="004E257E">
        <w:rPr>
          <w:rFonts w:ascii="Times New Roman" w:hAnsi="Times New Roman" w:cs="Times New Roman"/>
          <w:sz w:val="24"/>
          <w:szCs w:val="24"/>
          <w:u w:val="single"/>
        </w:rPr>
        <w:t>Статья 8 Сметы. "Разработка рабочей документации для объектов капитального строительства".</w:t>
      </w:r>
    </w:p>
    <w:p w14:paraId="1550174F" w14:textId="14852121" w:rsidR="00692C49" w:rsidRPr="00692C49" w:rsidRDefault="00692C49" w:rsidP="004323BF">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Смета проекта не предусматривает возможности финансирования расходов по ст. ст. 7, 8 из средств займа. Указанные направления работ в проекте подлежат финансированию за счет средств софинансирования.</w:t>
      </w:r>
    </w:p>
    <w:p w14:paraId="1E341710" w14:textId="0D916DF9" w:rsidR="00692C49" w:rsidRPr="004E257E" w:rsidRDefault="00692C49" w:rsidP="004E257E">
      <w:pPr>
        <w:pStyle w:val="a7"/>
        <w:spacing w:before="60" w:after="60" w:line="240" w:lineRule="auto"/>
        <w:ind w:left="0" w:firstLine="567"/>
        <w:jc w:val="both"/>
        <w:rPr>
          <w:rFonts w:ascii="Times New Roman" w:hAnsi="Times New Roman" w:cs="Times New Roman"/>
          <w:sz w:val="24"/>
          <w:szCs w:val="24"/>
          <w:u w:val="single"/>
        </w:rPr>
      </w:pPr>
      <w:r w:rsidRPr="004E257E">
        <w:rPr>
          <w:rFonts w:ascii="Times New Roman" w:hAnsi="Times New Roman" w:cs="Times New Roman"/>
          <w:sz w:val="24"/>
          <w:szCs w:val="24"/>
          <w:u w:val="single"/>
        </w:rPr>
        <w:t>Статья 9 Сметы. "Приобретение промышленного оборудования, его монтаж, наладка и иные мероприятия по его по</w:t>
      </w:r>
      <w:r w:rsidR="004E257E">
        <w:rPr>
          <w:rFonts w:ascii="Times New Roman" w:hAnsi="Times New Roman" w:cs="Times New Roman"/>
          <w:sz w:val="24"/>
          <w:szCs w:val="24"/>
          <w:u w:val="single"/>
        </w:rPr>
        <w:t>дготовке для серийного производ</w:t>
      </w:r>
      <w:r w:rsidRPr="004E257E">
        <w:rPr>
          <w:rFonts w:ascii="Times New Roman" w:hAnsi="Times New Roman" w:cs="Times New Roman"/>
          <w:sz w:val="24"/>
          <w:szCs w:val="24"/>
          <w:u w:val="single"/>
        </w:rPr>
        <w:t>ства".</w:t>
      </w:r>
    </w:p>
    <w:p w14:paraId="3068FC29" w14:textId="0C04C2C9"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Данная статья расходов предназначена для финансирования приобретения основного технологического и вспомогательного оборудования проекта, непосредственно связанного с промышленным выпуском продукта проекта. </w:t>
      </w:r>
    </w:p>
    <w:p w14:paraId="487C2F49" w14:textId="54915647"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Статья не предусматривает возможность финансирования из средств займа приобретения оборудования в лизинг, а также расходов, направленных на строительство объектов капитального строительства (зданий, сооружений, линейных объектов), их ремонт, реконструкцию, модернизацию и прочие связанные расходы.</w:t>
      </w:r>
    </w:p>
    <w:p w14:paraId="256813DA" w14:textId="6872F911"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Статья предусматривает расходы на приобретение оборудования, уплату ввозных таможенных платежей, доставку оборудования до места монтажа, а также выполнение всех видов работ, связанных с монтажом оборудования, его вводом в эксплуатацию, проведением тестовых испытаний</w:t>
      </w:r>
      <w:r w:rsidR="004E257E">
        <w:rPr>
          <w:rFonts w:ascii="Times New Roman" w:hAnsi="Times New Roman" w:cs="Times New Roman"/>
          <w:sz w:val="24"/>
          <w:szCs w:val="24"/>
        </w:rPr>
        <w:t>.</w:t>
      </w:r>
      <w:r w:rsidRPr="00692C49">
        <w:rPr>
          <w:rFonts w:ascii="Times New Roman" w:hAnsi="Times New Roman" w:cs="Times New Roman"/>
          <w:sz w:val="24"/>
          <w:szCs w:val="24"/>
        </w:rPr>
        <w:t xml:space="preserve"> Рекомендуется все расходы, связанные с приобретением и монтажом промышленного оборудования, которые формируют итоговую стоимость введенного в эксплуатацию основного </w:t>
      </w:r>
    </w:p>
    <w:p w14:paraId="24CE581B" w14:textId="68BDC241"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средства, планировать по данной статье сметы в разбивке по соответствующим видам затрат (приобретение оборудования, приобретение материалов и комплектующих, работы и услуги третьих лиц, выплаты персоналу Заемщика).</w:t>
      </w:r>
    </w:p>
    <w:p w14:paraId="5436FE06" w14:textId="52D227C8"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Планы приобретения оборудования и выполнения смежных работ должны быть определены в Календарном плане проекта.</w:t>
      </w:r>
    </w:p>
    <w:p w14:paraId="34D258E5" w14:textId="66892F83"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Важно, чтобы состав основного технологического и вспомогательного оборудования был поименован в Техническом задании с указанием его технических характеристик и количества единиц по каждому наименованию. В ходе реализации</w:t>
      </w:r>
      <w:r w:rsidR="004E257E">
        <w:rPr>
          <w:rFonts w:ascii="Times New Roman" w:hAnsi="Times New Roman" w:cs="Times New Roman"/>
          <w:sz w:val="24"/>
          <w:szCs w:val="24"/>
        </w:rPr>
        <w:t xml:space="preserve"> </w:t>
      </w:r>
      <w:r w:rsidRPr="00692C49">
        <w:rPr>
          <w:rFonts w:ascii="Times New Roman" w:hAnsi="Times New Roman" w:cs="Times New Roman"/>
          <w:sz w:val="24"/>
          <w:szCs w:val="24"/>
        </w:rPr>
        <w:t>проекта данный перечень может быть скорректирован по согласованию с Фондом.</w:t>
      </w:r>
    </w:p>
    <w:p w14:paraId="149E87DD" w14:textId="629EDDA9"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На этапе комплексной экспертизы Фонд вправе запросить более детальную спецификацию, а также коммерческие предложения или договора поставки для подтверждения заложенных на при</w:t>
      </w:r>
      <w:r w:rsidR="004E257E">
        <w:rPr>
          <w:rFonts w:ascii="Times New Roman" w:hAnsi="Times New Roman" w:cs="Times New Roman"/>
          <w:sz w:val="24"/>
          <w:szCs w:val="24"/>
        </w:rPr>
        <w:t>обретение оборудования расходов.</w:t>
      </w:r>
    </w:p>
    <w:p w14:paraId="2140F95E" w14:textId="6CA067A4"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При выполнении части мероприятий собственными силами Заявитель вправе запланировать расходы на оплату персонала (ЦРС 9.1) и, если это требуется по проекту, на приобретение материалов и комплектующих, используемых для монтажа, наладки, ввода оборудования или проведения иных необходимых мероприятий для подготовки к серийному производству (ЦРС 9.3).</w:t>
      </w:r>
    </w:p>
    <w:p w14:paraId="55F16677" w14:textId="60B4E4DB" w:rsidR="00692C49" w:rsidRPr="00692C49" w:rsidRDefault="00692C49" w:rsidP="004E257E">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При привлечении подрядчиков стоимость их работ также может быть оплачена из средств займа (ЦРС 9.2</w:t>
      </w:r>
      <w:bookmarkStart w:id="0" w:name="_GoBack"/>
      <w:bookmarkEnd w:id="0"/>
      <w:r w:rsidRPr="00692C49">
        <w:rPr>
          <w:rFonts w:ascii="Times New Roman" w:hAnsi="Times New Roman" w:cs="Times New Roman"/>
          <w:sz w:val="24"/>
          <w:szCs w:val="24"/>
        </w:rPr>
        <w:t>). С учетом того, что деятельность по данному направлению расходования средств носит специальный характер, компетенции, опыт работ, членство в СРО, положительные референции по аналогичным проектам и видам работ должны быть заранее подтверждены Заявителем и при необходимости по запросу – представлены Фонду.</w:t>
      </w:r>
    </w:p>
    <w:p w14:paraId="1B71BAD1" w14:textId="51A30B0C" w:rsidR="00692C49" w:rsidRPr="003A4C54" w:rsidRDefault="00692C49" w:rsidP="004E257E">
      <w:pPr>
        <w:pStyle w:val="a7"/>
        <w:spacing w:before="60" w:after="60" w:line="240" w:lineRule="auto"/>
        <w:ind w:left="0" w:firstLine="567"/>
        <w:jc w:val="both"/>
        <w:rPr>
          <w:rFonts w:ascii="Times New Roman" w:hAnsi="Times New Roman" w:cs="Times New Roman"/>
          <w:sz w:val="24"/>
          <w:szCs w:val="24"/>
          <w:u w:val="single"/>
        </w:rPr>
      </w:pPr>
      <w:r w:rsidRPr="003A4C54">
        <w:rPr>
          <w:rFonts w:ascii="Times New Roman" w:hAnsi="Times New Roman" w:cs="Times New Roman"/>
          <w:sz w:val="24"/>
          <w:szCs w:val="24"/>
          <w:u w:val="single"/>
        </w:rPr>
        <w:t>Статья 10 Сметы. "Общехозяйственные расходы по проекту – затраты на выполнение функций управления и обслуживания подразделений, реализующих проект".</w:t>
      </w:r>
    </w:p>
    <w:p w14:paraId="2AA4F657" w14:textId="2DDCFE21" w:rsidR="00692C49" w:rsidRPr="00111E18" w:rsidRDefault="00692C49" w:rsidP="00F07F51">
      <w:pPr>
        <w:pStyle w:val="a7"/>
        <w:spacing w:before="60" w:after="60" w:line="240" w:lineRule="auto"/>
        <w:ind w:left="0" w:firstLine="567"/>
        <w:jc w:val="both"/>
        <w:rPr>
          <w:rFonts w:ascii="Times New Roman" w:hAnsi="Times New Roman" w:cs="Times New Roman"/>
          <w:sz w:val="24"/>
          <w:szCs w:val="24"/>
          <w:u w:val="single"/>
        </w:rPr>
      </w:pPr>
      <w:r w:rsidRPr="00111E18">
        <w:rPr>
          <w:rFonts w:ascii="Times New Roman" w:hAnsi="Times New Roman" w:cs="Times New Roman"/>
          <w:sz w:val="24"/>
          <w:szCs w:val="24"/>
          <w:u w:val="single"/>
        </w:rPr>
        <w:t>Статья 11 Сметы. "Строительство и реконструкция объектов капитального строительства".</w:t>
      </w:r>
    </w:p>
    <w:p w14:paraId="19690EF4" w14:textId="120E1055" w:rsidR="00692C49" w:rsidRPr="00111E18" w:rsidRDefault="00692C49" w:rsidP="00F07F51">
      <w:pPr>
        <w:pStyle w:val="a7"/>
        <w:spacing w:before="60" w:after="60" w:line="240" w:lineRule="auto"/>
        <w:ind w:left="0" w:firstLine="567"/>
        <w:jc w:val="both"/>
        <w:rPr>
          <w:rFonts w:ascii="Times New Roman" w:hAnsi="Times New Roman" w:cs="Times New Roman"/>
          <w:sz w:val="24"/>
          <w:szCs w:val="24"/>
          <w:u w:val="single"/>
        </w:rPr>
      </w:pPr>
      <w:r w:rsidRPr="00111E18">
        <w:rPr>
          <w:rFonts w:ascii="Times New Roman" w:hAnsi="Times New Roman" w:cs="Times New Roman"/>
          <w:sz w:val="24"/>
          <w:szCs w:val="24"/>
          <w:u w:val="single"/>
        </w:rPr>
        <w:t>Статья 12 Сметы. "Прочие капитальные вложения в проекте: приобретение зданий, сооружений, земельных участков, иные вложения".</w:t>
      </w:r>
    </w:p>
    <w:p w14:paraId="28D2EFC6" w14:textId="3394EC24" w:rsidR="00692C49" w:rsidRPr="00692C49" w:rsidRDefault="00692C49" w:rsidP="00111E18">
      <w:pPr>
        <w:pStyle w:val="a7"/>
        <w:spacing w:before="60" w:after="60" w:line="240" w:lineRule="auto"/>
        <w:ind w:left="0" w:firstLine="567"/>
        <w:jc w:val="both"/>
        <w:rPr>
          <w:rFonts w:ascii="Times New Roman" w:hAnsi="Times New Roman" w:cs="Times New Roman"/>
          <w:sz w:val="24"/>
          <w:szCs w:val="24"/>
        </w:rPr>
      </w:pPr>
      <w:r w:rsidRPr="00692C49">
        <w:rPr>
          <w:rFonts w:ascii="Times New Roman" w:hAnsi="Times New Roman" w:cs="Times New Roman"/>
          <w:sz w:val="24"/>
          <w:szCs w:val="24"/>
        </w:rPr>
        <w:t xml:space="preserve">Смета проекта не предусматривает возможности финансирования расходов по ст. </w:t>
      </w:r>
      <w:r w:rsidR="00111E18">
        <w:rPr>
          <w:rFonts w:ascii="Times New Roman" w:hAnsi="Times New Roman" w:cs="Times New Roman"/>
          <w:sz w:val="24"/>
          <w:szCs w:val="24"/>
        </w:rPr>
        <w:t xml:space="preserve">10, </w:t>
      </w:r>
      <w:r w:rsidRPr="00692C49">
        <w:rPr>
          <w:rFonts w:ascii="Times New Roman" w:hAnsi="Times New Roman" w:cs="Times New Roman"/>
          <w:sz w:val="24"/>
          <w:szCs w:val="24"/>
        </w:rPr>
        <w:t>11, 12 из средств займа. Указанные направления работ в проекте подлежат финансированию за счет средств софинансирования.</w:t>
      </w:r>
    </w:p>
    <w:p w14:paraId="1D07AC87" w14:textId="4D288081" w:rsidR="00692C49" w:rsidRPr="00692C49" w:rsidRDefault="00692C49" w:rsidP="00111E18">
      <w:pPr>
        <w:pStyle w:val="a7"/>
        <w:spacing w:before="60" w:after="60" w:line="240" w:lineRule="auto"/>
        <w:ind w:left="0" w:firstLine="567"/>
        <w:jc w:val="both"/>
        <w:rPr>
          <w:rFonts w:ascii="Times New Roman" w:hAnsi="Times New Roman" w:cs="Times New Roman"/>
          <w:sz w:val="24"/>
          <w:szCs w:val="24"/>
        </w:rPr>
      </w:pPr>
    </w:p>
    <w:p w14:paraId="03E58298" w14:textId="48045639" w:rsidR="00286B0F" w:rsidRPr="00111E18" w:rsidRDefault="00286B0F" w:rsidP="00111E18">
      <w:pPr>
        <w:shd w:val="clear" w:color="auto" w:fill="088DBC"/>
        <w:spacing w:before="60" w:after="60" w:line="240" w:lineRule="auto"/>
        <w:ind w:left="709"/>
        <w:jc w:val="center"/>
        <w:rPr>
          <w:rFonts w:ascii="Times New Roman" w:hAnsi="Times New Roman" w:cs="Times New Roman"/>
          <w:b/>
          <w:sz w:val="28"/>
          <w:szCs w:val="28"/>
        </w:rPr>
      </w:pPr>
      <w:r w:rsidRPr="00111E18">
        <w:rPr>
          <w:rFonts w:ascii="Times New Roman" w:hAnsi="Times New Roman" w:cs="Times New Roman"/>
          <w:b/>
          <w:sz w:val="28"/>
          <w:szCs w:val="28"/>
        </w:rPr>
        <w:t>О возможности изменения Сметы проекта</w:t>
      </w:r>
    </w:p>
    <w:p w14:paraId="16CFC63B" w14:textId="1D1D2BBA" w:rsidR="00286B0F" w:rsidRPr="00286B0F" w:rsidRDefault="00286B0F" w:rsidP="00286B0F">
      <w:pPr>
        <w:spacing w:before="60" w:after="60" w:line="240" w:lineRule="auto"/>
        <w:ind w:firstLine="709"/>
        <w:jc w:val="both"/>
        <w:rPr>
          <w:rFonts w:ascii="Times New Roman" w:hAnsi="Times New Roman" w:cs="Times New Roman"/>
          <w:sz w:val="24"/>
          <w:szCs w:val="24"/>
        </w:rPr>
      </w:pPr>
      <w:r w:rsidRPr="00286B0F">
        <w:rPr>
          <w:rFonts w:ascii="Times New Roman" w:hAnsi="Times New Roman" w:cs="Times New Roman"/>
          <w:sz w:val="24"/>
          <w:szCs w:val="24"/>
        </w:rPr>
        <w:t xml:space="preserve">В случае необходимости доработки сметы проекта на основании рекомендаций и замечаний экспертов Фонда Смета </w:t>
      </w:r>
      <w:r w:rsidR="00D42D53" w:rsidRPr="00286B0F">
        <w:rPr>
          <w:rFonts w:ascii="Times New Roman" w:hAnsi="Times New Roman" w:cs="Times New Roman"/>
          <w:sz w:val="24"/>
          <w:szCs w:val="24"/>
        </w:rPr>
        <w:t>проекта, может быть,</w:t>
      </w:r>
      <w:r w:rsidRPr="00286B0F">
        <w:rPr>
          <w:rFonts w:ascii="Times New Roman" w:hAnsi="Times New Roman" w:cs="Times New Roman"/>
          <w:sz w:val="24"/>
          <w:szCs w:val="24"/>
        </w:rPr>
        <w:t xml:space="preserve"> уточнена Заявителем на этапе экспресс-оценки и на более поздних этапах экспертиз проекта Фондом.</w:t>
      </w:r>
    </w:p>
    <w:p w14:paraId="3BF48413" w14:textId="77777777" w:rsidR="00286B0F" w:rsidRPr="00286B0F" w:rsidRDefault="00286B0F" w:rsidP="00286B0F">
      <w:pPr>
        <w:spacing w:before="60" w:after="60" w:line="240" w:lineRule="auto"/>
        <w:ind w:firstLine="709"/>
        <w:jc w:val="both"/>
        <w:rPr>
          <w:rFonts w:ascii="Times New Roman" w:hAnsi="Times New Roman" w:cs="Times New Roman"/>
          <w:sz w:val="24"/>
          <w:szCs w:val="24"/>
        </w:rPr>
      </w:pPr>
      <w:r w:rsidRPr="00286B0F">
        <w:rPr>
          <w:rFonts w:ascii="Times New Roman" w:hAnsi="Times New Roman" w:cs="Times New Roman"/>
          <w:sz w:val="24"/>
          <w:szCs w:val="24"/>
        </w:rPr>
        <w:t>Изменение сметы после заключения договора целевого займа требует проведения Фондом повторных экспертиз проекта – Фонд вправе в предусмотренных Стандартами случаях взимать с заемщиков плату за изменение Сметы проекта и заключения дополнительного соглашения к договору займа.</w:t>
      </w:r>
    </w:p>
    <w:p w14:paraId="624E26ED" w14:textId="0D1B9D7D" w:rsidR="00A72503" w:rsidRPr="00286B0F" w:rsidRDefault="00286B0F" w:rsidP="00063298">
      <w:pPr>
        <w:spacing w:before="60" w:after="60" w:line="240" w:lineRule="auto"/>
        <w:ind w:firstLine="709"/>
        <w:jc w:val="both"/>
        <w:rPr>
          <w:rFonts w:ascii="Times New Roman" w:hAnsi="Times New Roman" w:cs="Times New Roman"/>
          <w:sz w:val="24"/>
          <w:szCs w:val="24"/>
        </w:rPr>
      </w:pPr>
      <w:r w:rsidRPr="00286B0F">
        <w:rPr>
          <w:rFonts w:ascii="Times New Roman" w:hAnsi="Times New Roman" w:cs="Times New Roman"/>
          <w:sz w:val="24"/>
          <w:szCs w:val="24"/>
        </w:rPr>
        <w:t>После заключения договора займа Смета проекта в части средств займа может быть скорректирована Заемщиком без заключения дополнительного соглашения об изменении порядка расходования средств в проекте, если изменения Сметы не приводят к изменению ее итоговой суммы и суммарно (за весь срок займа) не превышают 10% от суммы изменяемого показателя</w:t>
      </w:r>
      <w:r>
        <w:rPr>
          <w:rFonts w:ascii="Times New Roman" w:hAnsi="Times New Roman" w:cs="Times New Roman"/>
          <w:sz w:val="24"/>
          <w:szCs w:val="24"/>
          <w:vertAlign w:val="superscript"/>
        </w:rPr>
        <w:t>1</w:t>
      </w:r>
      <w:r w:rsidRPr="00286B0F">
        <w:rPr>
          <w:rFonts w:ascii="Times New Roman" w:hAnsi="Times New Roman" w:cs="Times New Roman"/>
          <w:sz w:val="24"/>
          <w:szCs w:val="24"/>
        </w:rPr>
        <w:t xml:space="preserve">, а по показателям, по которым до корректировки не было предусмотрено расходов, – допустимо увеличение на сумму не более </w:t>
      </w:r>
      <w:r w:rsidR="00411F0E">
        <w:rPr>
          <w:rFonts w:ascii="Times New Roman" w:hAnsi="Times New Roman" w:cs="Times New Roman"/>
          <w:sz w:val="24"/>
          <w:szCs w:val="24"/>
        </w:rPr>
        <w:t>2</w:t>
      </w:r>
      <w:r w:rsidRPr="00286B0F">
        <w:rPr>
          <w:rFonts w:ascii="Times New Roman" w:hAnsi="Times New Roman" w:cs="Times New Roman"/>
          <w:sz w:val="24"/>
          <w:szCs w:val="24"/>
        </w:rPr>
        <w:t xml:space="preserve"> млн рублей. При этом по результатам корректировок должно обеспечиваться соответствие ограничений для каждой из программ, установленных Стандартами Фонда.</w:t>
      </w:r>
    </w:p>
    <w:p w14:paraId="6B384F60" w14:textId="77777777" w:rsidR="00A72503" w:rsidRPr="00DD2ACF" w:rsidRDefault="00A72503" w:rsidP="00A72503">
      <w:pPr>
        <w:tabs>
          <w:tab w:val="left" w:pos="4539"/>
        </w:tabs>
        <w:spacing w:before="60" w:after="6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588E2AC" wp14:editId="5F6CA711">
                <wp:simplePos x="0" y="0"/>
                <wp:positionH relativeFrom="column">
                  <wp:posOffset>483677</wp:posOffset>
                </wp:positionH>
                <wp:positionV relativeFrom="paragraph">
                  <wp:posOffset>136927</wp:posOffset>
                </wp:positionV>
                <wp:extent cx="2164466"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1644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F7584" id="Прямая соединительная линия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1pt,10.8pt" to="208.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" strokecolor="windowText" strokeweight=".5pt">
                <v:stroke joinstyle="miter"/>
              </v:line>
            </w:pict>
          </mc:Fallback>
        </mc:AlternateContent>
      </w:r>
      <w:r w:rsidRPr="00DD2ACF">
        <w:rPr>
          <w:rFonts w:ascii="Times New Roman" w:hAnsi="Times New Roman" w:cs="Times New Roman"/>
          <w:sz w:val="24"/>
          <w:szCs w:val="24"/>
        </w:rPr>
        <w:tab/>
      </w:r>
    </w:p>
    <w:p w14:paraId="13C70EA4" w14:textId="5269C52B" w:rsidR="00A72503" w:rsidRDefault="00A72503" w:rsidP="00192335">
      <w:pPr>
        <w:tabs>
          <w:tab w:val="left" w:pos="4539"/>
        </w:tabs>
        <w:spacing w:before="60" w:after="60" w:line="240" w:lineRule="auto"/>
        <w:ind w:firstLine="709"/>
        <w:jc w:val="both"/>
        <w:rPr>
          <w:rFonts w:ascii="Times New Roman" w:hAnsi="Times New Roman" w:cs="Times New Roman"/>
          <w:sz w:val="20"/>
          <w:szCs w:val="20"/>
        </w:rPr>
      </w:pPr>
      <w:r w:rsidRPr="00286B0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286B0F">
        <w:rPr>
          <w:rFonts w:ascii="Times New Roman" w:hAnsi="Times New Roman" w:cs="Times New Roman"/>
          <w:sz w:val="20"/>
          <w:szCs w:val="20"/>
        </w:rPr>
        <w:t>показатель – предусмотренная Сметой сумма расходов средств Займа либо средств софинансирования по определенному направлению целевого использования средств (статье/подстатье) и определенному виду затрат</w:t>
      </w:r>
      <w:r>
        <w:rPr>
          <w:rFonts w:ascii="Times New Roman" w:hAnsi="Times New Roman" w:cs="Times New Roman"/>
          <w:sz w:val="20"/>
          <w:szCs w:val="20"/>
        </w:rPr>
        <w:t>.</w:t>
      </w:r>
    </w:p>
    <w:p w14:paraId="3EBDD4E5" w14:textId="139D199B" w:rsidR="00192335" w:rsidRDefault="00192335" w:rsidP="00192335">
      <w:pPr>
        <w:tabs>
          <w:tab w:val="left" w:pos="4539"/>
        </w:tabs>
        <w:spacing w:before="60" w:after="60" w:line="240" w:lineRule="auto"/>
        <w:ind w:firstLine="709"/>
        <w:jc w:val="both"/>
        <w:rPr>
          <w:rFonts w:ascii="Times New Roman" w:hAnsi="Times New Roman" w:cs="Times New Roman"/>
          <w:sz w:val="20"/>
          <w:szCs w:val="20"/>
        </w:rPr>
      </w:pPr>
    </w:p>
    <w:p w14:paraId="44E1624D" w14:textId="14335F44" w:rsidR="00286B0F" w:rsidRPr="00563297" w:rsidRDefault="00286B0F" w:rsidP="00286B0F">
      <w:pPr>
        <w:tabs>
          <w:tab w:val="left" w:pos="4539"/>
        </w:tabs>
        <w:spacing w:before="60" w:after="60" w:line="240" w:lineRule="auto"/>
        <w:ind w:firstLine="709"/>
        <w:jc w:val="both"/>
        <w:rPr>
          <w:rFonts w:ascii="Times New Roman" w:hAnsi="Times New Roman" w:cs="Times New Roman"/>
          <w:sz w:val="24"/>
          <w:szCs w:val="24"/>
          <w:vertAlign w:val="superscript"/>
        </w:rPr>
      </w:pPr>
    </w:p>
    <w:sectPr w:rsidR="00286B0F" w:rsidRPr="00563297" w:rsidSect="00E522A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1A3C" w14:textId="77777777" w:rsidR="00F3029F" w:rsidRDefault="00F3029F" w:rsidP="0003424A">
      <w:pPr>
        <w:spacing w:after="0" w:line="240" w:lineRule="auto"/>
      </w:pPr>
      <w:r>
        <w:separator/>
      </w:r>
    </w:p>
  </w:endnote>
  <w:endnote w:type="continuationSeparator" w:id="0">
    <w:p w14:paraId="0A3EF6E3" w14:textId="77777777" w:rsidR="00F3029F" w:rsidRDefault="00F3029F" w:rsidP="0003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55713"/>
      <w:docPartObj>
        <w:docPartGallery w:val="Page Numbers (Bottom of Page)"/>
        <w:docPartUnique/>
      </w:docPartObj>
    </w:sdtPr>
    <w:sdtEndPr/>
    <w:sdtContent>
      <w:p w14:paraId="386ACC39" w14:textId="7501E5E0" w:rsidR="00F3029F" w:rsidRDefault="00F3029F">
        <w:pPr>
          <w:pStyle w:val="a5"/>
          <w:jc w:val="right"/>
        </w:pPr>
        <w:r>
          <w:fldChar w:fldCharType="begin"/>
        </w:r>
        <w:r>
          <w:instrText>PAGE   \* MERGEFORMAT</w:instrText>
        </w:r>
        <w:r>
          <w:fldChar w:fldCharType="separate"/>
        </w:r>
        <w:r w:rsidR="007911C5">
          <w:rPr>
            <w:noProof/>
          </w:rPr>
          <w:t>14</w:t>
        </w:r>
        <w:r>
          <w:fldChar w:fldCharType="end"/>
        </w:r>
      </w:p>
    </w:sdtContent>
  </w:sdt>
  <w:p w14:paraId="0E7C72AF" w14:textId="77777777" w:rsidR="00F3029F" w:rsidRDefault="00F302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501B" w14:textId="77777777" w:rsidR="00F3029F" w:rsidRDefault="00F3029F" w:rsidP="0003424A">
      <w:pPr>
        <w:spacing w:after="0" w:line="240" w:lineRule="auto"/>
      </w:pPr>
      <w:r>
        <w:separator/>
      </w:r>
    </w:p>
  </w:footnote>
  <w:footnote w:type="continuationSeparator" w:id="0">
    <w:p w14:paraId="61439E57" w14:textId="77777777" w:rsidR="00F3029F" w:rsidRDefault="00F3029F" w:rsidP="0003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9111" w14:textId="66040F3A" w:rsidR="00F3029F" w:rsidRDefault="00F3029F">
    <w:pPr>
      <w:pStyle w:val="a3"/>
    </w:pPr>
    <w:r>
      <w:rPr>
        <w:noProof/>
        <w:lang w:eastAsia="ru-RU"/>
      </w:rPr>
      <w:drawing>
        <wp:inline distT="0" distB="0" distL="0" distR="0" wp14:anchorId="44C90D0B" wp14:editId="723B56B4">
          <wp:extent cx="1562400" cy="53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logo_wt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562400" cy="53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546"/>
    <w:multiLevelType w:val="hybridMultilevel"/>
    <w:tmpl w:val="8C704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A961E0"/>
    <w:multiLevelType w:val="multilevel"/>
    <w:tmpl w:val="F86CDDF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CE12058"/>
    <w:multiLevelType w:val="hybridMultilevel"/>
    <w:tmpl w:val="2E049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833A1"/>
    <w:multiLevelType w:val="multilevel"/>
    <w:tmpl w:val="CC50B8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2F77CE"/>
    <w:multiLevelType w:val="hybridMultilevel"/>
    <w:tmpl w:val="E29611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9044F6"/>
    <w:multiLevelType w:val="hybridMultilevel"/>
    <w:tmpl w:val="8F8C8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B58F3"/>
    <w:multiLevelType w:val="hybridMultilevel"/>
    <w:tmpl w:val="67F82B3A"/>
    <w:lvl w:ilvl="0" w:tplc="D8B89CBA">
      <w:numFmt w:val="bullet"/>
      <w:lvlText w:val="-"/>
      <w:lvlJc w:val="left"/>
      <w:pPr>
        <w:ind w:left="1081" w:hanging="257"/>
      </w:pPr>
      <w:rPr>
        <w:rFonts w:ascii="Arial" w:eastAsia="Arial" w:hAnsi="Arial" w:cs="Arial" w:hint="default"/>
        <w:spacing w:val="-31"/>
        <w:w w:val="100"/>
        <w:sz w:val="24"/>
        <w:szCs w:val="24"/>
        <w:lang w:val="ru-RU" w:eastAsia="en-US" w:bidi="ar-SA"/>
      </w:rPr>
    </w:lvl>
    <w:lvl w:ilvl="1" w:tplc="1C52E210">
      <w:numFmt w:val="bullet"/>
      <w:lvlText w:val="•"/>
      <w:lvlJc w:val="left"/>
      <w:pPr>
        <w:ind w:left="2082" w:hanging="257"/>
      </w:pPr>
      <w:rPr>
        <w:rFonts w:hint="default"/>
        <w:lang w:val="ru-RU" w:eastAsia="en-US" w:bidi="ar-SA"/>
      </w:rPr>
    </w:lvl>
    <w:lvl w:ilvl="2" w:tplc="36129DE8">
      <w:numFmt w:val="bullet"/>
      <w:lvlText w:val="•"/>
      <w:lvlJc w:val="left"/>
      <w:pPr>
        <w:ind w:left="3085" w:hanging="257"/>
      </w:pPr>
      <w:rPr>
        <w:rFonts w:hint="default"/>
        <w:lang w:val="ru-RU" w:eastAsia="en-US" w:bidi="ar-SA"/>
      </w:rPr>
    </w:lvl>
    <w:lvl w:ilvl="3" w:tplc="7F16F6DE">
      <w:numFmt w:val="bullet"/>
      <w:lvlText w:val="•"/>
      <w:lvlJc w:val="left"/>
      <w:pPr>
        <w:ind w:left="4087" w:hanging="257"/>
      </w:pPr>
      <w:rPr>
        <w:rFonts w:hint="default"/>
        <w:lang w:val="ru-RU" w:eastAsia="en-US" w:bidi="ar-SA"/>
      </w:rPr>
    </w:lvl>
    <w:lvl w:ilvl="4" w:tplc="37C2689A">
      <w:numFmt w:val="bullet"/>
      <w:lvlText w:val="•"/>
      <w:lvlJc w:val="left"/>
      <w:pPr>
        <w:ind w:left="5090" w:hanging="257"/>
      </w:pPr>
      <w:rPr>
        <w:rFonts w:hint="default"/>
        <w:lang w:val="ru-RU" w:eastAsia="en-US" w:bidi="ar-SA"/>
      </w:rPr>
    </w:lvl>
    <w:lvl w:ilvl="5" w:tplc="3E466990">
      <w:numFmt w:val="bullet"/>
      <w:lvlText w:val="•"/>
      <w:lvlJc w:val="left"/>
      <w:pPr>
        <w:ind w:left="6093" w:hanging="257"/>
      </w:pPr>
      <w:rPr>
        <w:rFonts w:hint="default"/>
        <w:lang w:val="ru-RU" w:eastAsia="en-US" w:bidi="ar-SA"/>
      </w:rPr>
    </w:lvl>
    <w:lvl w:ilvl="6" w:tplc="2C9E3158">
      <w:numFmt w:val="bullet"/>
      <w:lvlText w:val="•"/>
      <w:lvlJc w:val="left"/>
      <w:pPr>
        <w:ind w:left="7095" w:hanging="257"/>
      </w:pPr>
      <w:rPr>
        <w:rFonts w:hint="default"/>
        <w:lang w:val="ru-RU" w:eastAsia="en-US" w:bidi="ar-SA"/>
      </w:rPr>
    </w:lvl>
    <w:lvl w:ilvl="7" w:tplc="425E7F26">
      <w:numFmt w:val="bullet"/>
      <w:lvlText w:val="•"/>
      <w:lvlJc w:val="left"/>
      <w:pPr>
        <w:ind w:left="8098" w:hanging="257"/>
      </w:pPr>
      <w:rPr>
        <w:rFonts w:hint="default"/>
        <w:lang w:val="ru-RU" w:eastAsia="en-US" w:bidi="ar-SA"/>
      </w:rPr>
    </w:lvl>
    <w:lvl w:ilvl="8" w:tplc="7AD4BA24">
      <w:numFmt w:val="bullet"/>
      <w:lvlText w:val="•"/>
      <w:lvlJc w:val="left"/>
      <w:pPr>
        <w:ind w:left="9101" w:hanging="257"/>
      </w:pPr>
      <w:rPr>
        <w:rFonts w:hint="default"/>
        <w:lang w:val="ru-RU" w:eastAsia="en-US" w:bidi="ar-SA"/>
      </w:rPr>
    </w:lvl>
  </w:abstractNum>
  <w:abstractNum w:abstractNumId="7" w15:restartNumberingAfterBreak="0">
    <w:nsid w:val="34C1180B"/>
    <w:multiLevelType w:val="hybridMultilevel"/>
    <w:tmpl w:val="46FC8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0475C"/>
    <w:multiLevelType w:val="multilevel"/>
    <w:tmpl w:val="F460C96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1522CF4"/>
    <w:multiLevelType w:val="hybridMultilevel"/>
    <w:tmpl w:val="9D8A3D5A"/>
    <w:lvl w:ilvl="0" w:tplc="082CCBC4">
      <w:numFmt w:val="bullet"/>
      <w:lvlText w:val=""/>
      <w:lvlJc w:val="left"/>
      <w:pPr>
        <w:ind w:left="1801" w:hanging="360"/>
      </w:pPr>
      <w:rPr>
        <w:rFonts w:ascii="Symbol" w:eastAsia="Symbol" w:hAnsi="Symbol" w:cs="Symbol" w:hint="default"/>
        <w:w w:val="100"/>
        <w:sz w:val="24"/>
        <w:szCs w:val="24"/>
        <w:lang w:val="ru-RU" w:eastAsia="en-US" w:bidi="ar-SA"/>
      </w:rPr>
    </w:lvl>
    <w:lvl w:ilvl="1" w:tplc="954288EA">
      <w:numFmt w:val="bullet"/>
      <w:lvlText w:val="•"/>
      <w:lvlJc w:val="left"/>
      <w:pPr>
        <w:ind w:left="2730" w:hanging="360"/>
      </w:pPr>
      <w:rPr>
        <w:rFonts w:hint="default"/>
        <w:lang w:val="ru-RU" w:eastAsia="en-US" w:bidi="ar-SA"/>
      </w:rPr>
    </w:lvl>
    <w:lvl w:ilvl="2" w:tplc="00901276">
      <w:numFmt w:val="bullet"/>
      <w:lvlText w:val="•"/>
      <w:lvlJc w:val="left"/>
      <w:pPr>
        <w:ind w:left="3661" w:hanging="360"/>
      </w:pPr>
      <w:rPr>
        <w:rFonts w:hint="default"/>
        <w:lang w:val="ru-RU" w:eastAsia="en-US" w:bidi="ar-SA"/>
      </w:rPr>
    </w:lvl>
    <w:lvl w:ilvl="3" w:tplc="A00ED908">
      <w:numFmt w:val="bullet"/>
      <w:lvlText w:val="•"/>
      <w:lvlJc w:val="left"/>
      <w:pPr>
        <w:ind w:left="4591" w:hanging="360"/>
      </w:pPr>
      <w:rPr>
        <w:rFonts w:hint="default"/>
        <w:lang w:val="ru-RU" w:eastAsia="en-US" w:bidi="ar-SA"/>
      </w:rPr>
    </w:lvl>
    <w:lvl w:ilvl="4" w:tplc="AFE0D99C">
      <w:numFmt w:val="bullet"/>
      <w:lvlText w:val="•"/>
      <w:lvlJc w:val="left"/>
      <w:pPr>
        <w:ind w:left="5522" w:hanging="360"/>
      </w:pPr>
      <w:rPr>
        <w:rFonts w:hint="default"/>
        <w:lang w:val="ru-RU" w:eastAsia="en-US" w:bidi="ar-SA"/>
      </w:rPr>
    </w:lvl>
    <w:lvl w:ilvl="5" w:tplc="CB5E7218">
      <w:numFmt w:val="bullet"/>
      <w:lvlText w:val="•"/>
      <w:lvlJc w:val="left"/>
      <w:pPr>
        <w:ind w:left="6453" w:hanging="360"/>
      </w:pPr>
      <w:rPr>
        <w:rFonts w:hint="default"/>
        <w:lang w:val="ru-RU" w:eastAsia="en-US" w:bidi="ar-SA"/>
      </w:rPr>
    </w:lvl>
    <w:lvl w:ilvl="6" w:tplc="6A6400CA">
      <w:numFmt w:val="bullet"/>
      <w:lvlText w:val="•"/>
      <w:lvlJc w:val="left"/>
      <w:pPr>
        <w:ind w:left="7383" w:hanging="360"/>
      </w:pPr>
      <w:rPr>
        <w:rFonts w:hint="default"/>
        <w:lang w:val="ru-RU" w:eastAsia="en-US" w:bidi="ar-SA"/>
      </w:rPr>
    </w:lvl>
    <w:lvl w:ilvl="7" w:tplc="A7F609F6">
      <w:numFmt w:val="bullet"/>
      <w:lvlText w:val="•"/>
      <w:lvlJc w:val="left"/>
      <w:pPr>
        <w:ind w:left="8314" w:hanging="360"/>
      </w:pPr>
      <w:rPr>
        <w:rFonts w:hint="default"/>
        <w:lang w:val="ru-RU" w:eastAsia="en-US" w:bidi="ar-SA"/>
      </w:rPr>
    </w:lvl>
    <w:lvl w:ilvl="8" w:tplc="8E0858DE">
      <w:numFmt w:val="bullet"/>
      <w:lvlText w:val="•"/>
      <w:lvlJc w:val="left"/>
      <w:pPr>
        <w:ind w:left="9245" w:hanging="360"/>
      </w:pPr>
      <w:rPr>
        <w:rFonts w:hint="default"/>
        <w:lang w:val="ru-RU" w:eastAsia="en-US" w:bidi="ar-SA"/>
      </w:rPr>
    </w:lvl>
  </w:abstractNum>
  <w:abstractNum w:abstractNumId="10" w15:restartNumberingAfterBreak="0">
    <w:nsid w:val="42A32319"/>
    <w:multiLevelType w:val="hybridMultilevel"/>
    <w:tmpl w:val="6344A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491FFC"/>
    <w:multiLevelType w:val="hybridMultilevel"/>
    <w:tmpl w:val="82AC7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5B36DA8"/>
    <w:multiLevelType w:val="hybridMultilevel"/>
    <w:tmpl w:val="4FE8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C578E1"/>
    <w:multiLevelType w:val="multilevel"/>
    <w:tmpl w:val="6F1E45A6"/>
    <w:lvl w:ilvl="0">
      <w:start w:val="6"/>
      <w:numFmt w:val="decimal"/>
      <w:lvlText w:val="%1"/>
      <w:lvlJc w:val="left"/>
      <w:pPr>
        <w:ind w:left="1789" w:hanging="708"/>
        <w:jc w:val="left"/>
      </w:pPr>
      <w:rPr>
        <w:rFonts w:hint="default"/>
        <w:lang w:val="ru-RU" w:eastAsia="en-US" w:bidi="ar-SA"/>
      </w:rPr>
    </w:lvl>
    <w:lvl w:ilvl="1">
      <w:start w:val="1"/>
      <w:numFmt w:val="decimal"/>
      <w:lvlText w:val="%1.%2."/>
      <w:lvlJc w:val="left"/>
      <w:pPr>
        <w:ind w:left="1789" w:hanging="708"/>
        <w:jc w:val="left"/>
      </w:pPr>
      <w:rPr>
        <w:rFonts w:ascii="Arial" w:eastAsia="Arial" w:hAnsi="Arial" w:cs="Arial" w:hint="default"/>
        <w:spacing w:val="-28"/>
        <w:w w:val="100"/>
        <w:sz w:val="24"/>
        <w:szCs w:val="24"/>
        <w:lang w:val="ru-RU" w:eastAsia="en-US" w:bidi="ar-SA"/>
      </w:rPr>
    </w:lvl>
    <w:lvl w:ilvl="2">
      <w:numFmt w:val="bullet"/>
      <w:lvlText w:val="-"/>
      <w:lvlJc w:val="left"/>
      <w:pPr>
        <w:ind w:left="1936" w:hanging="147"/>
      </w:pPr>
      <w:rPr>
        <w:rFonts w:ascii="Arial" w:eastAsia="Arial" w:hAnsi="Arial" w:cs="Arial" w:hint="default"/>
        <w:w w:val="100"/>
        <w:sz w:val="24"/>
        <w:szCs w:val="24"/>
        <w:lang w:val="ru-RU" w:eastAsia="en-US" w:bidi="ar-SA"/>
      </w:rPr>
    </w:lvl>
    <w:lvl w:ilvl="3">
      <w:numFmt w:val="bullet"/>
      <w:lvlText w:val="•"/>
      <w:lvlJc w:val="left"/>
      <w:pPr>
        <w:ind w:left="3976" w:hanging="147"/>
      </w:pPr>
      <w:rPr>
        <w:rFonts w:hint="default"/>
        <w:lang w:val="ru-RU" w:eastAsia="en-US" w:bidi="ar-SA"/>
      </w:rPr>
    </w:lvl>
    <w:lvl w:ilvl="4">
      <w:numFmt w:val="bullet"/>
      <w:lvlText w:val="•"/>
      <w:lvlJc w:val="left"/>
      <w:pPr>
        <w:ind w:left="4995" w:hanging="147"/>
      </w:pPr>
      <w:rPr>
        <w:rFonts w:hint="default"/>
        <w:lang w:val="ru-RU" w:eastAsia="en-US" w:bidi="ar-SA"/>
      </w:rPr>
    </w:lvl>
    <w:lvl w:ilvl="5">
      <w:numFmt w:val="bullet"/>
      <w:lvlText w:val="•"/>
      <w:lvlJc w:val="left"/>
      <w:pPr>
        <w:ind w:left="6013" w:hanging="147"/>
      </w:pPr>
      <w:rPr>
        <w:rFonts w:hint="default"/>
        <w:lang w:val="ru-RU" w:eastAsia="en-US" w:bidi="ar-SA"/>
      </w:rPr>
    </w:lvl>
    <w:lvl w:ilvl="6">
      <w:numFmt w:val="bullet"/>
      <w:lvlText w:val="•"/>
      <w:lvlJc w:val="left"/>
      <w:pPr>
        <w:ind w:left="7032" w:hanging="147"/>
      </w:pPr>
      <w:rPr>
        <w:rFonts w:hint="default"/>
        <w:lang w:val="ru-RU" w:eastAsia="en-US" w:bidi="ar-SA"/>
      </w:rPr>
    </w:lvl>
    <w:lvl w:ilvl="7">
      <w:numFmt w:val="bullet"/>
      <w:lvlText w:val="•"/>
      <w:lvlJc w:val="left"/>
      <w:pPr>
        <w:ind w:left="8050" w:hanging="147"/>
      </w:pPr>
      <w:rPr>
        <w:rFonts w:hint="default"/>
        <w:lang w:val="ru-RU" w:eastAsia="en-US" w:bidi="ar-SA"/>
      </w:rPr>
    </w:lvl>
    <w:lvl w:ilvl="8">
      <w:numFmt w:val="bullet"/>
      <w:lvlText w:val="•"/>
      <w:lvlJc w:val="left"/>
      <w:pPr>
        <w:ind w:left="9069" w:hanging="147"/>
      </w:pPr>
      <w:rPr>
        <w:rFonts w:hint="default"/>
        <w:lang w:val="ru-RU" w:eastAsia="en-US" w:bidi="ar-SA"/>
      </w:rPr>
    </w:lvl>
  </w:abstractNum>
  <w:abstractNum w:abstractNumId="14" w15:restartNumberingAfterBreak="0">
    <w:nsid w:val="5CBB37E9"/>
    <w:multiLevelType w:val="hybridMultilevel"/>
    <w:tmpl w:val="2C505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42038"/>
    <w:multiLevelType w:val="hybridMultilevel"/>
    <w:tmpl w:val="5C4C4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10"/>
  </w:num>
  <w:num w:numId="6">
    <w:abstractNumId w:val="6"/>
  </w:num>
  <w:num w:numId="7">
    <w:abstractNumId w:val="14"/>
  </w:num>
  <w:num w:numId="8">
    <w:abstractNumId w:val="4"/>
  </w:num>
  <w:num w:numId="9">
    <w:abstractNumId w:val="13"/>
  </w:num>
  <w:num w:numId="10">
    <w:abstractNumId w:val="5"/>
  </w:num>
  <w:num w:numId="11">
    <w:abstractNumId w:val="2"/>
  </w:num>
  <w:num w:numId="12">
    <w:abstractNumId w:val="3"/>
  </w:num>
  <w:num w:numId="13">
    <w:abstractNumId w:val="7"/>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48"/>
    <w:rsid w:val="0000551D"/>
    <w:rsid w:val="0003424A"/>
    <w:rsid w:val="00063298"/>
    <w:rsid w:val="000679E7"/>
    <w:rsid w:val="00071444"/>
    <w:rsid w:val="000C3A57"/>
    <w:rsid w:val="000C7288"/>
    <w:rsid w:val="000D7D14"/>
    <w:rsid w:val="000E009C"/>
    <w:rsid w:val="00105D63"/>
    <w:rsid w:val="00111E18"/>
    <w:rsid w:val="00113C46"/>
    <w:rsid w:val="0011614A"/>
    <w:rsid w:val="00127FCF"/>
    <w:rsid w:val="00134CD7"/>
    <w:rsid w:val="00144F2E"/>
    <w:rsid w:val="00156FF8"/>
    <w:rsid w:val="00185326"/>
    <w:rsid w:val="00186B4D"/>
    <w:rsid w:val="00192335"/>
    <w:rsid w:val="001A579A"/>
    <w:rsid w:val="001C138A"/>
    <w:rsid w:val="001D01F7"/>
    <w:rsid w:val="001E33AA"/>
    <w:rsid w:val="001F1726"/>
    <w:rsid w:val="001F2DC6"/>
    <w:rsid w:val="00211CCC"/>
    <w:rsid w:val="002336E4"/>
    <w:rsid w:val="0027096F"/>
    <w:rsid w:val="00286B0F"/>
    <w:rsid w:val="00346849"/>
    <w:rsid w:val="00347E8D"/>
    <w:rsid w:val="003512E8"/>
    <w:rsid w:val="003721D3"/>
    <w:rsid w:val="003830D9"/>
    <w:rsid w:val="003934AA"/>
    <w:rsid w:val="00394D64"/>
    <w:rsid w:val="003A1111"/>
    <w:rsid w:val="003A4C54"/>
    <w:rsid w:val="003B61D1"/>
    <w:rsid w:val="003F03CE"/>
    <w:rsid w:val="00411F0E"/>
    <w:rsid w:val="00422D11"/>
    <w:rsid w:val="004323BF"/>
    <w:rsid w:val="0045524B"/>
    <w:rsid w:val="00462FD1"/>
    <w:rsid w:val="00465872"/>
    <w:rsid w:val="004847C2"/>
    <w:rsid w:val="004D030F"/>
    <w:rsid w:val="004E257E"/>
    <w:rsid w:val="004E3798"/>
    <w:rsid w:val="00513C87"/>
    <w:rsid w:val="00521B8B"/>
    <w:rsid w:val="005403B4"/>
    <w:rsid w:val="00563297"/>
    <w:rsid w:val="00571C94"/>
    <w:rsid w:val="00591778"/>
    <w:rsid w:val="005A0A7B"/>
    <w:rsid w:val="005C670C"/>
    <w:rsid w:val="005F2E8E"/>
    <w:rsid w:val="006017C4"/>
    <w:rsid w:val="0061725A"/>
    <w:rsid w:val="0062284D"/>
    <w:rsid w:val="00626755"/>
    <w:rsid w:val="00640B4E"/>
    <w:rsid w:val="0065184F"/>
    <w:rsid w:val="00692C49"/>
    <w:rsid w:val="006B5D48"/>
    <w:rsid w:val="006C70EF"/>
    <w:rsid w:val="006D503A"/>
    <w:rsid w:val="006E2342"/>
    <w:rsid w:val="006F1D60"/>
    <w:rsid w:val="00703005"/>
    <w:rsid w:val="007220CE"/>
    <w:rsid w:val="0072529A"/>
    <w:rsid w:val="0073067F"/>
    <w:rsid w:val="007534FF"/>
    <w:rsid w:val="00754741"/>
    <w:rsid w:val="00783F19"/>
    <w:rsid w:val="007911C5"/>
    <w:rsid w:val="007C0159"/>
    <w:rsid w:val="007F700B"/>
    <w:rsid w:val="00817DD3"/>
    <w:rsid w:val="00817E9C"/>
    <w:rsid w:val="008242AB"/>
    <w:rsid w:val="00826073"/>
    <w:rsid w:val="008558AA"/>
    <w:rsid w:val="008A50DA"/>
    <w:rsid w:val="008C6ABF"/>
    <w:rsid w:val="008E41EC"/>
    <w:rsid w:val="008E7260"/>
    <w:rsid w:val="00901E57"/>
    <w:rsid w:val="00906C62"/>
    <w:rsid w:val="0094775C"/>
    <w:rsid w:val="009667F3"/>
    <w:rsid w:val="0097279F"/>
    <w:rsid w:val="00997946"/>
    <w:rsid w:val="009C70F2"/>
    <w:rsid w:val="009C79F3"/>
    <w:rsid w:val="009D78C0"/>
    <w:rsid w:val="009E3265"/>
    <w:rsid w:val="009F1D3A"/>
    <w:rsid w:val="00A33E5E"/>
    <w:rsid w:val="00A71344"/>
    <w:rsid w:val="00A72503"/>
    <w:rsid w:val="00A77B7F"/>
    <w:rsid w:val="00A92CD3"/>
    <w:rsid w:val="00AA2E0D"/>
    <w:rsid w:val="00AB2A98"/>
    <w:rsid w:val="00AD50A7"/>
    <w:rsid w:val="00AE34E9"/>
    <w:rsid w:val="00B10A69"/>
    <w:rsid w:val="00B117D7"/>
    <w:rsid w:val="00B5431D"/>
    <w:rsid w:val="00B56C10"/>
    <w:rsid w:val="00BB01B7"/>
    <w:rsid w:val="00BB7E7A"/>
    <w:rsid w:val="00BC47FD"/>
    <w:rsid w:val="00BE5C48"/>
    <w:rsid w:val="00C12A9B"/>
    <w:rsid w:val="00C34319"/>
    <w:rsid w:val="00C56334"/>
    <w:rsid w:val="00C72757"/>
    <w:rsid w:val="00C800F1"/>
    <w:rsid w:val="00C8161B"/>
    <w:rsid w:val="00CA6E2E"/>
    <w:rsid w:val="00CA717E"/>
    <w:rsid w:val="00CC3D14"/>
    <w:rsid w:val="00CC7C92"/>
    <w:rsid w:val="00D00310"/>
    <w:rsid w:val="00D00750"/>
    <w:rsid w:val="00D15A81"/>
    <w:rsid w:val="00D27DC4"/>
    <w:rsid w:val="00D32C5F"/>
    <w:rsid w:val="00D32DCF"/>
    <w:rsid w:val="00D410E0"/>
    <w:rsid w:val="00D42D53"/>
    <w:rsid w:val="00D45F3A"/>
    <w:rsid w:val="00D50288"/>
    <w:rsid w:val="00D633BE"/>
    <w:rsid w:val="00D65E13"/>
    <w:rsid w:val="00D93528"/>
    <w:rsid w:val="00D953BF"/>
    <w:rsid w:val="00DA46E0"/>
    <w:rsid w:val="00DA64A9"/>
    <w:rsid w:val="00DB2000"/>
    <w:rsid w:val="00DB2C16"/>
    <w:rsid w:val="00DB62EC"/>
    <w:rsid w:val="00DD2ACF"/>
    <w:rsid w:val="00E03FD3"/>
    <w:rsid w:val="00E2633D"/>
    <w:rsid w:val="00E352FA"/>
    <w:rsid w:val="00E4241B"/>
    <w:rsid w:val="00E522A5"/>
    <w:rsid w:val="00E72096"/>
    <w:rsid w:val="00EE1D87"/>
    <w:rsid w:val="00EE2BA0"/>
    <w:rsid w:val="00EF3A3F"/>
    <w:rsid w:val="00F07F51"/>
    <w:rsid w:val="00F16CD0"/>
    <w:rsid w:val="00F3029F"/>
    <w:rsid w:val="00F41321"/>
    <w:rsid w:val="00F46E76"/>
    <w:rsid w:val="00F7029C"/>
    <w:rsid w:val="00FC1BA8"/>
    <w:rsid w:val="00FD2645"/>
    <w:rsid w:val="00FD554F"/>
    <w:rsid w:val="00FE4F7B"/>
    <w:rsid w:val="00FE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8A1054"/>
  <w15:chartTrackingRefBased/>
  <w15:docId w15:val="{11A240DF-3B25-439A-863A-08D72447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424A"/>
  </w:style>
  <w:style w:type="paragraph" w:styleId="a5">
    <w:name w:val="footer"/>
    <w:basedOn w:val="a"/>
    <w:link w:val="a6"/>
    <w:uiPriority w:val="99"/>
    <w:unhideWhenUsed/>
    <w:rsid w:val="000342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424A"/>
  </w:style>
  <w:style w:type="paragraph" w:styleId="a7">
    <w:name w:val="List Paragraph"/>
    <w:basedOn w:val="a"/>
    <w:uiPriority w:val="34"/>
    <w:qFormat/>
    <w:rsid w:val="006B5D48"/>
    <w:pPr>
      <w:ind w:left="720"/>
      <w:contextualSpacing/>
    </w:pPr>
  </w:style>
  <w:style w:type="paragraph" w:styleId="a8">
    <w:name w:val="Body Text"/>
    <w:basedOn w:val="a"/>
    <w:link w:val="a9"/>
    <w:uiPriority w:val="99"/>
    <w:semiHidden/>
    <w:unhideWhenUsed/>
    <w:rsid w:val="00134CD7"/>
    <w:pPr>
      <w:spacing w:after="120"/>
    </w:pPr>
  </w:style>
  <w:style w:type="character" w:customStyle="1" w:styleId="a9">
    <w:name w:val="Основной текст Знак"/>
    <w:basedOn w:val="a0"/>
    <w:link w:val="a8"/>
    <w:uiPriority w:val="99"/>
    <w:semiHidden/>
    <w:rsid w:val="00134CD7"/>
  </w:style>
  <w:style w:type="character" w:styleId="aa">
    <w:name w:val="Hyperlink"/>
    <w:basedOn w:val="a0"/>
    <w:uiPriority w:val="99"/>
    <w:unhideWhenUsed/>
    <w:rsid w:val="00286B0F"/>
    <w:rPr>
      <w:color w:val="0563C1" w:themeColor="hyperlink"/>
      <w:u w:val="single"/>
    </w:rPr>
  </w:style>
  <w:style w:type="character" w:customStyle="1" w:styleId="1">
    <w:name w:val="Неразрешенное упоминание1"/>
    <w:basedOn w:val="a0"/>
    <w:uiPriority w:val="99"/>
    <w:semiHidden/>
    <w:unhideWhenUsed/>
    <w:rsid w:val="00286B0F"/>
    <w:rPr>
      <w:color w:val="605E5C"/>
      <w:shd w:val="clear" w:color="auto" w:fill="E1DFDD"/>
    </w:rPr>
  </w:style>
  <w:style w:type="table" w:styleId="ab">
    <w:name w:val="Table Grid"/>
    <w:basedOn w:val="a1"/>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3083">
      <w:bodyDiv w:val="1"/>
      <w:marLeft w:val="0"/>
      <w:marRight w:val="0"/>
      <w:marTop w:val="0"/>
      <w:marBottom w:val="0"/>
      <w:divBdr>
        <w:top w:val="none" w:sz="0" w:space="0" w:color="auto"/>
        <w:left w:val="none" w:sz="0" w:space="0" w:color="auto"/>
        <w:bottom w:val="none" w:sz="0" w:space="0" w:color="auto"/>
        <w:right w:val="none" w:sz="0" w:space="0" w:color="auto"/>
      </w:divBdr>
    </w:div>
    <w:div w:id="13164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p62.ru/"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45C2-515F-4CED-9236-494CFCD8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HP06</dc:creator>
  <cp:keywords/>
  <dc:description/>
  <cp:lastModifiedBy>Наталья Толмачева</cp:lastModifiedBy>
  <cp:revision>71</cp:revision>
  <dcterms:created xsi:type="dcterms:W3CDTF">2024-01-23T13:25:00Z</dcterms:created>
  <dcterms:modified xsi:type="dcterms:W3CDTF">2024-01-31T13:44:00Z</dcterms:modified>
</cp:coreProperties>
</file>